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D5CB1" w14:textId="77777777" w:rsidR="00496E31" w:rsidRPr="004677B8" w:rsidRDefault="004677B8" w:rsidP="004677B8">
      <w:pPr>
        <w:jc w:val="center"/>
        <w:rPr>
          <w:rFonts w:ascii="Arial" w:hAnsi="Arial" w:cs="Arial"/>
          <w:noProof/>
          <w:sz w:val="24"/>
          <w:szCs w:val="24"/>
          <w:u w:val="single"/>
          <w:lang w:eastAsia="en-GB"/>
        </w:rPr>
      </w:pPr>
      <w:r w:rsidRPr="004677B8">
        <w:rPr>
          <w:rFonts w:ascii="Arial" w:hAnsi="Arial" w:cs="Arial"/>
          <w:b/>
          <w:noProof/>
          <w:sz w:val="24"/>
          <w:szCs w:val="24"/>
          <w:u w:val="single"/>
          <w:lang w:eastAsia="en-GB"/>
        </w:rPr>
        <w:t>Written evidence submitted by EBP</w:t>
      </w:r>
      <w:r>
        <w:rPr>
          <w:rFonts w:ascii="Arial" w:hAnsi="Arial" w:cs="Arial"/>
          <w:b/>
          <w:noProof/>
          <w:sz w:val="24"/>
          <w:szCs w:val="24"/>
          <w:u w:val="single"/>
          <w:lang w:eastAsia="en-GB"/>
        </w:rPr>
        <w:t xml:space="preserve"> (BYC029)</w:t>
      </w:r>
    </w:p>
    <w:p w14:paraId="7F49F45F" w14:textId="77777777" w:rsidR="00496E31" w:rsidRPr="0053759D" w:rsidRDefault="00496E31" w:rsidP="00AB7780">
      <w:pPr>
        <w:rPr>
          <w:rFonts w:ascii="Arial" w:hAnsi="Arial" w:cs="Arial"/>
          <w:noProof/>
          <w:sz w:val="24"/>
          <w:szCs w:val="24"/>
          <w:lang w:eastAsia="en-GB"/>
        </w:rPr>
      </w:pPr>
    </w:p>
    <w:p w14:paraId="5330ED4D" w14:textId="77777777" w:rsidR="0053759D" w:rsidRPr="0053759D" w:rsidRDefault="0053759D" w:rsidP="0053759D">
      <w:pPr>
        <w:rPr>
          <w:rFonts w:ascii="Arial" w:eastAsia="Calibri" w:hAnsi="Arial"/>
          <w:b/>
          <w:sz w:val="24"/>
          <w:szCs w:val="24"/>
        </w:rPr>
      </w:pPr>
      <w:r w:rsidRPr="0053759D">
        <w:rPr>
          <w:rFonts w:ascii="Arial" w:eastAsia="Calibri" w:hAnsi="Arial"/>
          <w:b/>
          <w:sz w:val="24"/>
          <w:szCs w:val="24"/>
        </w:rPr>
        <w:t>General 1:</w:t>
      </w:r>
    </w:p>
    <w:p w14:paraId="170C8881" w14:textId="77777777" w:rsidR="0053759D" w:rsidRPr="0053759D" w:rsidRDefault="0053759D" w:rsidP="0053759D">
      <w:pPr>
        <w:rPr>
          <w:rFonts w:ascii="Arial" w:eastAsia="Calibri" w:hAnsi="Arial"/>
          <w:sz w:val="24"/>
          <w:szCs w:val="24"/>
        </w:rPr>
      </w:pPr>
      <w:r w:rsidRPr="0053759D">
        <w:rPr>
          <w:rFonts w:ascii="Arial" w:eastAsia="Calibri" w:hAnsi="Arial"/>
          <w:sz w:val="24"/>
          <w:szCs w:val="24"/>
        </w:rPr>
        <w:t xml:space="preserve">The EBP </w:t>
      </w:r>
      <w:r w:rsidR="00C11C34">
        <w:rPr>
          <w:rFonts w:ascii="Arial" w:eastAsia="Calibri" w:hAnsi="Arial"/>
          <w:sz w:val="24"/>
          <w:szCs w:val="24"/>
        </w:rPr>
        <w:t>(</w:t>
      </w:r>
      <w:hyperlink r:id="rId7" w:history="1">
        <w:r w:rsidR="00C11C34" w:rsidRPr="008C2F4B">
          <w:rPr>
            <w:rStyle w:val="Hyperlink"/>
            <w:rFonts w:ascii="Arial" w:eastAsia="Calibri" w:hAnsi="Arial"/>
            <w:sz w:val="24"/>
            <w:szCs w:val="24"/>
          </w:rPr>
          <w:t>www.the-ebp.co.uk</w:t>
        </w:r>
      </w:hyperlink>
      <w:r w:rsidR="00C11C34">
        <w:rPr>
          <w:rFonts w:ascii="Arial" w:eastAsia="Calibri" w:hAnsi="Arial"/>
          <w:sz w:val="24"/>
          <w:szCs w:val="24"/>
        </w:rPr>
        <w:t xml:space="preserve">) </w:t>
      </w:r>
      <w:r w:rsidRPr="0053759D">
        <w:rPr>
          <w:rFonts w:ascii="Arial" w:eastAsia="Calibri" w:hAnsi="Arial"/>
          <w:sz w:val="24"/>
          <w:szCs w:val="24"/>
        </w:rPr>
        <w:t xml:space="preserve">has a history of working with schools in regard to work experience and promoting good quality work experience to support student workplace interaction. </w:t>
      </w:r>
    </w:p>
    <w:p w14:paraId="56DD750F" w14:textId="77777777" w:rsidR="0053759D" w:rsidRPr="0053759D" w:rsidRDefault="0053759D" w:rsidP="0053759D">
      <w:pPr>
        <w:rPr>
          <w:rFonts w:ascii="Arial" w:eastAsia="Calibri" w:hAnsi="Arial"/>
          <w:sz w:val="24"/>
          <w:szCs w:val="24"/>
        </w:rPr>
      </w:pPr>
    </w:p>
    <w:p w14:paraId="08E0A322" w14:textId="77777777" w:rsidR="0053759D" w:rsidRPr="0053759D" w:rsidRDefault="0053759D" w:rsidP="0053759D">
      <w:pPr>
        <w:rPr>
          <w:rFonts w:ascii="Arial" w:eastAsia="Calibri" w:hAnsi="Arial"/>
          <w:sz w:val="24"/>
          <w:szCs w:val="24"/>
        </w:rPr>
      </w:pPr>
      <w:r w:rsidRPr="0053759D">
        <w:rPr>
          <w:rFonts w:ascii="Arial" w:eastAsia="Calibri" w:hAnsi="Arial"/>
          <w:sz w:val="24"/>
          <w:szCs w:val="24"/>
        </w:rPr>
        <w:t>What do young people and businesses expect or get from the experience it’s difficult to say what’s to be expected. It differs from person to person and company to company. There are however some underlying factors - A taste of working life - Stepping outside comfort zone - Problem-solving.</w:t>
      </w:r>
    </w:p>
    <w:p w14:paraId="2CDF0B4C" w14:textId="77777777" w:rsidR="0053759D" w:rsidRPr="0053759D" w:rsidRDefault="0053759D" w:rsidP="0053759D">
      <w:pPr>
        <w:rPr>
          <w:rFonts w:ascii="Arial" w:eastAsia="Calibri" w:hAnsi="Arial"/>
          <w:sz w:val="24"/>
          <w:szCs w:val="24"/>
        </w:rPr>
      </w:pPr>
    </w:p>
    <w:p w14:paraId="03C12214" w14:textId="77777777" w:rsidR="0053759D" w:rsidRPr="0053759D" w:rsidRDefault="0053759D" w:rsidP="0053759D">
      <w:pPr>
        <w:rPr>
          <w:rFonts w:ascii="Arial" w:eastAsia="Calibri" w:hAnsi="Arial"/>
          <w:sz w:val="24"/>
          <w:szCs w:val="24"/>
        </w:rPr>
      </w:pPr>
      <w:r w:rsidRPr="0053759D">
        <w:rPr>
          <w:rFonts w:ascii="Arial" w:eastAsia="Calibri" w:hAnsi="Arial"/>
          <w:sz w:val="24"/>
          <w:szCs w:val="24"/>
        </w:rPr>
        <w:t xml:space="preserve"> </w:t>
      </w:r>
    </w:p>
    <w:p w14:paraId="234506F9" w14:textId="77777777" w:rsidR="0053759D" w:rsidRPr="0053759D" w:rsidRDefault="0053759D" w:rsidP="0053759D">
      <w:pPr>
        <w:rPr>
          <w:rFonts w:ascii="Arial" w:eastAsia="Calibri" w:hAnsi="Arial"/>
          <w:b/>
          <w:sz w:val="24"/>
          <w:szCs w:val="24"/>
        </w:rPr>
      </w:pPr>
      <w:r w:rsidRPr="0053759D">
        <w:rPr>
          <w:rFonts w:ascii="Arial" w:eastAsia="Calibri" w:hAnsi="Arial"/>
          <w:b/>
          <w:sz w:val="24"/>
          <w:szCs w:val="24"/>
        </w:rPr>
        <w:t>General 2:</w:t>
      </w:r>
    </w:p>
    <w:p w14:paraId="2A2950A8" w14:textId="77777777" w:rsidR="0053759D" w:rsidRPr="0053759D" w:rsidRDefault="0053759D" w:rsidP="0053759D">
      <w:pPr>
        <w:rPr>
          <w:rFonts w:ascii="Arial" w:eastAsia="Calibri" w:hAnsi="Arial"/>
          <w:sz w:val="24"/>
          <w:szCs w:val="24"/>
        </w:rPr>
      </w:pPr>
      <w:r w:rsidRPr="0053759D">
        <w:rPr>
          <w:rFonts w:ascii="Arial" w:eastAsia="Calibri" w:hAnsi="Arial"/>
          <w:sz w:val="24"/>
          <w:szCs w:val="24"/>
        </w:rPr>
        <w:t xml:space="preserve">Since 2010, work experience has not been a compulsory part of secondary education.  This has meant that dramatic funding cuts have occurred within schools and stretched staff across multiple roles, with the role of career advisors slowly decreasing during this time.   OFSTED deemed that 75% of schools are failing to provide adequate work experience.  </w:t>
      </w:r>
    </w:p>
    <w:p w14:paraId="0E07FA7A" w14:textId="77777777" w:rsidR="0053759D" w:rsidRPr="0053759D" w:rsidRDefault="0053759D" w:rsidP="0053759D">
      <w:pPr>
        <w:rPr>
          <w:rFonts w:ascii="Arial" w:eastAsia="Calibri" w:hAnsi="Arial"/>
          <w:sz w:val="24"/>
          <w:szCs w:val="24"/>
        </w:rPr>
      </w:pPr>
    </w:p>
    <w:p w14:paraId="6320CBB2" w14:textId="77777777" w:rsidR="0053759D" w:rsidRPr="0053759D" w:rsidRDefault="0053759D" w:rsidP="0053759D">
      <w:pPr>
        <w:rPr>
          <w:rFonts w:ascii="Arial" w:eastAsia="Calibri" w:hAnsi="Arial"/>
          <w:b/>
          <w:sz w:val="24"/>
          <w:szCs w:val="24"/>
        </w:rPr>
      </w:pPr>
      <w:r w:rsidRPr="0053759D">
        <w:rPr>
          <w:rFonts w:ascii="Arial" w:eastAsia="Calibri" w:hAnsi="Arial"/>
          <w:b/>
          <w:sz w:val="24"/>
          <w:szCs w:val="24"/>
        </w:rPr>
        <w:t>General 3:</w:t>
      </w:r>
    </w:p>
    <w:p w14:paraId="7C336066" w14:textId="77777777" w:rsidR="0053759D" w:rsidRPr="0053759D" w:rsidRDefault="0053759D" w:rsidP="0053759D">
      <w:pPr>
        <w:rPr>
          <w:rFonts w:ascii="Arial" w:eastAsia="Calibri" w:hAnsi="Arial"/>
          <w:sz w:val="24"/>
          <w:szCs w:val="24"/>
        </w:rPr>
      </w:pPr>
      <w:r w:rsidRPr="0053759D">
        <w:rPr>
          <w:rFonts w:ascii="Arial" w:eastAsia="Calibri" w:hAnsi="Arial"/>
          <w:sz w:val="24"/>
          <w:szCs w:val="24"/>
        </w:rPr>
        <w:t xml:space="preserve">Many of the opportunities for the students are coming from a ‘who you know’ basis, either on behalf of the students, parents and family contacts or the teachers.   So many young people are denied meaningful interactions with the world of work, and many employers are frustrated by the lack of skills and experience they are looking for. </w:t>
      </w:r>
    </w:p>
    <w:p w14:paraId="5A06291B" w14:textId="77777777" w:rsidR="0053759D" w:rsidRPr="0053759D" w:rsidRDefault="0053759D" w:rsidP="0053759D">
      <w:pPr>
        <w:rPr>
          <w:rFonts w:ascii="Arial" w:eastAsia="Calibri" w:hAnsi="Arial"/>
          <w:sz w:val="24"/>
          <w:szCs w:val="24"/>
        </w:rPr>
      </w:pPr>
    </w:p>
    <w:p w14:paraId="3963DAFC" w14:textId="77777777" w:rsidR="0053759D" w:rsidRPr="0053759D" w:rsidRDefault="0053759D" w:rsidP="0053759D">
      <w:pPr>
        <w:rPr>
          <w:rFonts w:ascii="Arial" w:eastAsia="Calibri" w:hAnsi="Arial"/>
          <w:b/>
          <w:sz w:val="24"/>
          <w:szCs w:val="24"/>
        </w:rPr>
      </w:pPr>
      <w:r w:rsidRPr="0053759D">
        <w:rPr>
          <w:rFonts w:ascii="Arial" w:eastAsia="Calibri" w:hAnsi="Arial"/>
          <w:b/>
          <w:sz w:val="24"/>
          <w:szCs w:val="24"/>
        </w:rPr>
        <w:t>Young people 4:</w:t>
      </w:r>
    </w:p>
    <w:p w14:paraId="46D4B7C9" w14:textId="77777777" w:rsidR="0053759D" w:rsidRPr="0053759D" w:rsidRDefault="0053759D" w:rsidP="0053759D">
      <w:pPr>
        <w:rPr>
          <w:rFonts w:ascii="Arial" w:eastAsia="Calibri" w:hAnsi="Arial"/>
          <w:sz w:val="24"/>
          <w:szCs w:val="24"/>
        </w:rPr>
      </w:pPr>
      <w:r w:rsidRPr="0053759D">
        <w:rPr>
          <w:rFonts w:ascii="Arial" w:eastAsia="Calibri" w:hAnsi="Arial"/>
          <w:sz w:val="24"/>
          <w:szCs w:val="24"/>
        </w:rPr>
        <w:t>More needs to be done to better prepare young people for the workplace. Key areas that need addressing are improving ‘soft skills’ such as communication, team working and resilience, as well as better careers advice and engagement with business in schools.</w:t>
      </w:r>
    </w:p>
    <w:p w14:paraId="699B635F" w14:textId="77777777" w:rsidR="0053759D" w:rsidRPr="0053759D" w:rsidRDefault="0053759D" w:rsidP="0053759D">
      <w:pPr>
        <w:rPr>
          <w:rFonts w:ascii="Arial" w:eastAsia="Calibri" w:hAnsi="Arial"/>
          <w:sz w:val="24"/>
          <w:szCs w:val="24"/>
        </w:rPr>
      </w:pPr>
    </w:p>
    <w:p w14:paraId="09402D0D" w14:textId="77777777" w:rsidR="0053759D" w:rsidRPr="0053759D" w:rsidRDefault="0053759D" w:rsidP="0053759D">
      <w:pPr>
        <w:rPr>
          <w:rFonts w:ascii="Arial" w:eastAsia="Calibri" w:hAnsi="Arial"/>
          <w:b/>
          <w:sz w:val="24"/>
          <w:szCs w:val="24"/>
        </w:rPr>
      </w:pPr>
      <w:r w:rsidRPr="0053759D">
        <w:rPr>
          <w:rFonts w:ascii="Arial" w:eastAsia="Calibri" w:hAnsi="Arial"/>
          <w:b/>
          <w:sz w:val="24"/>
          <w:szCs w:val="24"/>
        </w:rPr>
        <w:t>Schools and businesses 6 - 11</w:t>
      </w:r>
    </w:p>
    <w:p w14:paraId="7E0CF0A9" w14:textId="77777777" w:rsidR="0053759D" w:rsidRPr="0053759D" w:rsidRDefault="0053759D" w:rsidP="0053759D">
      <w:pPr>
        <w:rPr>
          <w:rFonts w:ascii="Arial" w:eastAsia="Calibri" w:hAnsi="Arial"/>
          <w:sz w:val="24"/>
          <w:szCs w:val="24"/>
        </w:rPr>
      </w:pPr>
      <w:r w:rsidRPr="0053759D">
        <w:rPr>
          <w:rFonts w:ascii="Arial" w:eastAsia="Calibri" w:hAnsi="Arial"/>
          <w:sz w:val="24"/>
          <w:szCs w:val="24"/>
        </w:rPr>
        <w:t>Relevant Work experience was rated by 66% of recruiting employers as critical or significant factor looked for in candidates – UKCES Employer Perspectives Survey 2014.  We believe it is a shared responsibility between business, education and government to address this to increase collaboration between education providers and businesses.</w:t>
      </w:r>
    </w:p>
    <w:p w14:paraId="5179724A" w14:textId="77777777" w:rsidR="0053759D" w:rsidRPr="0053759D" w:rsidRDefault="0053759D" w:rsidP="0053759D">
      <w:pPr>
        <w:numPr>
          <w:ilvl w:val="0"/>
          <w:numId w:val="12"/>
        </w:numPr>
        <w:rPr>
          <w:rFonts w:ascii="Arial" w:eastAsia="Calibri" w:hAnsi="Arial" w:cs="Arial"/>
          <w:sz w:val="24"/>
          <w:szCs w:val="24"/>
        </w:rPr>
      </w:pPr>
      <w:r w:rsidRPr="0053759D">
        <w:rPr>
          <w:rFonts w:ascii="Arial" w:eastAsia="Calibri" w:hAnsi="Arial" w:cs="Arial"/>
          <w:sz w:val="24"/>
          <w:szCs w:val="24"/>
        </w:rPr>
        <w:t>We offer work experience to students across 26 sectors</w:t>
      </w:r>
    </w:p>
    <w:p w14:paraId="3B225421" w14:textId="77777777" w:rsidR="0053759D" w:rsidRPr="0053759D" w:rsidRDefault="0053759D" w:rsidP="0053759D">
      <w:pPr>
        <w:numPr>
          <w:ilvl w:val="0"/>
          <w:numId w:val="12"/>
        </w:numPr>
        <w:rPr>
          <w:rFonts w:ascii="Arial" w:eastAsia="Calibri" w:hAnsi="Arial" w:cs="Arial"/>
          <w:sz w:val="24"/>
          <w:szCs w:val="24"/>
        </w:rPr>
      </w:pPr>
      <w:r w:rsidRPr="0053759D">
        <w:rPr>
          <w:rFonts w:ascii="Arial" w:eastAsia="Calibri" w:hAnsi="Arial" w:cs="Arial"/>
          <w:sz w:val="24"/>
          <w:szCs w:val="24"/>
        </w:rPr>
        <w:t>795 businesses work with us to offer work experience placements.</w:t>
      </w:r>
    </w:p>
    <w:p w14:paraId="2F024843" w14:textId="77777777" w:rsidR="0053759D" w:rsidRPr="0053759D" w:rsidRDefault="0053759D" w:rsidP="0053759D">
      <w:pPr>
        <w:numPr>
          <w:ilvl w:val="0"/>
          <w:numId w:val="12"/>
        </w:numPr>
        <w:rPr>
          <w:rFonts w:ascii="Arial" w:eastAsia="Calibri" w:hAnsi="Arial" w:cs="Arial"/>
          <w:sz w:val="24"/>
          <w:szCs w:val="24"/>
        </w:rPr>
      </w:pPr>
      <w:r w:rsidRPr="0053759D">
        <w:rPr>
          <w:rFonts w:ascii="Arial" w:eastAsia="Calibri" w:hAnsi="Arial" w:cs="Arial"/>
          <w:sz w:val="24"/>
          <w:szCs w:val="24"/>
        </w:rPr>
        <w:t>Since 2010, we have helped 43,026 young people into work experience placements.</w:t>
      </w:r>
    </w:p>
    <w:p w14:paraId="059AF6C1" w14:textId="77777777" w:rsidR="0053759D" w:rsidRPr="0053759D" w:rsidRDefault="0053759D" w:rsidP="0053759D">
      <w:pPr>
        <w:numPr>
          <w:ilvl w:val="0"/>
          <w:numId w:val="12"/>
        </w:numPr>
        <w:rPr>
          <w:rFonts w:ascii="Arial" w:eastAsia="Calibri" w:hAnsi="Arial" w:cs="Arial"/>
          <w:sz w:val="24"/>
          <w:szCs w:val="24"/>
        </w:rPr>
      </w:pPr>
      <w:r w:rsidRPr="0053759D">
        <w:rPr>
          <w:rFonts w:ascii="Arial" w:eastAsia="Calibri" w:hAnsi="Arial" w:cs="Arial"/>
          <w:sz w:val="24"/>
          <w:szCs w:val="24"/>
        </w:rPr>
        <w:t>Businesses see the benefit of “Growing their own” by providing work experience and training programmes so they can develop the skills relevant to the sector they are in this is the main motivator in offering a placement as employers see the need to open young people’s eyes to different sectors and roles within those areas.</w:t>
      </w:r>
    </w:p>
    <w:p w14:paraId="24F8F75F" w14:textId="77777777" w:rsidR="0053759D" w:rsidRPr="0053759D" w:rsidRDefault="0053759D" w:rsidP="0053759D">
      <w:pPr>
        <w:rPr>
          <w:rFonts w:ascii="Arial" w:eastAsia="Calibri" w:hAnsi="Arial"/>
          <w:sz w:val="24"/>
          <w:szCs w:val="24"/>
        </w:rPr>
      </w:pPr>
    </w:p>
    <w:p w14:paraId="7E36C642" w14:textId="77777777" w:rsidR="0053759D" w:rsidRPr="0053759D" w:rsidRDefault="0053759D" w:rsidP="0053759D">
      <w:pPr>
        <w:rPr>
          <w:rFonts w:ascii="Arial" w:eastAsia="Calibri" w:hAnsi="Arial"/>
          <w:sz w:val="24"/>
          <w:szCs w:val="24"/>
        </w:rPr>
      </w:pPr>
    </w:p>
    <w:p w14:paraId="1660CE83" w14:textId="77777777" w:rsidR="0053759D" w:rsidRPr="0053759D" w:rsidRDefault="0053759D" w:rsidP="0053759D">
      <w:pPr>
        <w:rPr>
          <w:rFonts w:ascii="Arial" w:eastAsia="Calibri" w:hAnsi="Arial"/>
          <w:b/>
          <w:sz w:val="24"/>
          <w:szCs w:val="24"/>
        </w:rPr>
      </w:pPr>
      <w:r w:rsidRPr="0053759D">
        <w:rPr>
          <w:rFonts w:ascii="Arial" w:eastAsia="Calibri" w:hAnsi="Arial"/>
          <w:b/>
          <w:sz w:val="24"/>
          <w:szCs w:val="24"/>
        </w:rPr>
        <w:t>Other services and organisations 12 – 15:</w:t>
      </w:r>
    </w:p>
    <w:p w14:paraId="1ADF26DF" w14:textId="77777777" w:rsidR="0053759D" w:rsidRPr="0053759D" w:rsidRDefault="0053759D" w:rsidP="0053759D">
      <w:pPr>
        <w:rPr>
          <w:rFonts w:ascii="Arial" w:eastAsia="Calibri" w:hAnsi="Arial"/>
          <w:sz w:val="24"/>
          <w:szCs w:val="24"/>
        </w:rPr>
      </w:pPr>
      <w:r w:rsidRPr="0053759D">
        <w:rPr>
          <w:rFonts w:ascii="Arial" w:eastAsia="Calibri" w:hAnsi="Arial"/>
          <w:sz w:val="24"/>
          <w:szCs w:val="24"/>
        </w:rPr>
        <w:t xml:space="preserve">EBP are a Social Enterprise focused on providing support for young people to gain the skills and knowledge to help their transition into work and we would welcome further funding from the Government to allow schools and college’s to provide the financial support for young people to have the opportunity to participate in work experience of a Varity of models that will suit employers and schools. </w:t>
      </w:r>
    </w:p>
    <w:p w14:paraId="7DE30416" w14:textId="77777777" w:rsidR="0053759D" w:rsidRPr="0053759D" w:rsidRDefault="0053759D" w:rsidP="0053759D">
      <w:pPr>
        <w:rPr>
          <w:sz w:val="24"/>
          <w:szCs w:val="24"/>
        </w:rPr>
      </w:pPr>
    </w:p>
    <w:p w14:paraId="0920C059" w14:textId="77777777" w:rsidR="00A805C7" w:rsidRPr="0053759D" w:rsidRDefault="00A805C7" w:rsidP="00AB7780">
      <w:pPr>
        <w:rPr>
          <w:rFonts w:ascii="Arial" w:hAnsi="Arial" w:cs="Arial"/>
          <w:noProof/>
          <w:sz w:val="24"/>
          <w:szCs w:val="24"/>
          <w:lang w:eastAsia="en-GB"/>
        </w:rPr>
      </w:pPr>
    </w:p>
    <w:p w14:paraId="487FCFA7" w14:textId="77777777" w:rsidR="00A805C7" w:rsidRPr="0053759D" w:rsidRDefault="00A805C7" w:rsidP="00AB7780">
      <w:pPr>
        <w:rPr>
          <w:rFonts w:ascii="Arial" w:hAnsi="Arial" w:cs="Arial"/>
          <w:noProof/>
          <w:sz w:val="24"/>
          <w:szCs w:val="24"/>
          <w:lang w:eastAsia="en-GB"/>
        </w:rPr>
      </w:pPr>
    </w:p>
    <w:p w14:paraId="6A4E11C8" w14:textId="77777777" w:rsidR="00631947" w:rsidRPr="0053759D" w:rsidRDefault="00631947" w:rsidP="00AB7780">
      <w:pPr>
        <w:rPr>
          <w:rFonts w:ascii="Arial" w:hAnsi="Arial" w:cs="Arial"/>
          <w:noProof/>
          <w:sz w:val="24"/>
          <w:szCs w:val="24"/>
          <w:lang w:eastAsia="en-GB"/>
        </w:rPr>
      </w:pPr>
    </w:p>
    <w:p w14:paraId="500D16DF" w14:textId="77777777" w:rsidR="00631947" w:rsidRPr="0053759D" w:rsidRDefault="00631947" w:rsidP="00AB7780">
      <w:pPr>
        <w:rPr>
          <w:rFonts w:ascii="Arial" w:hAnsi="Arial" w:cs="Arial"/>
          <w:sz w:val="24"/>
          <w:szCs w:val="24"/>
        </w:rPr>
      </w:pPr>
    </w:p>
    <w:p w14:paraId="21335476" w14:textId="77777777" w:rsidR="00631947" w:rsidRPr="0053759D" w:rsidRDefault="004677B8" w:rsidP="00AB7780">
      <w:pPr>
        <w:rPr>
          <w:rFonts w:ascii="Arial" w:hAnsi="Arial" w:cs="Arial"/>
          <w:sz w:val="24"/>
          <w:szCs w:val="24"/>
        </w:rPr>
      </w:pPr>
      <w:r>
        <w:rPr>
          <w:rFonts w:ascii="Arial" w:hAnsi="Arial" w:cs="Arial"/>
          <w:sz w:val="24"/>
          <w:szCs w:val="24"/>
        </w:rPr>
        <w:t>June 2018</w:t>
      </w:r>
      <w:bookmarkStart w:id="0" w:name="_GoBack"/>
      <w:bookmarkEnd w:id="0"/>
    </w:p>
    <w:sectPr w:rsidR="00631947" w:rsidRPr="0053759D" w:rsidSect="00C87FA5">
      <w:headerReference w:type="default" r:id="rId8"/>
      <w:footerReference w:type="default" r:id="rId9"/>
      <w:pgSz w:w="11906" w:h="16838"/>
      <w:pgMar w:top="18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0C09E" w14:textId="77777777" w:rsidR="00C5136C" w:rsidRDefault="00C5136C" w:rsidP="00C5136C">
      <w:r>
        <w:separator/>
      </w:r>
    </w:p>
  </w:endnote>
  <w:endnote w:type="continuationSeparator" w:id="0">
    <w:p w14:paraId="58509CB2" w14:textId="77777777" w:rsidR="00C5136C" w:rsidRDefault="00C5136C" w:rsidP="00C5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EFB5C" w14:textId="77777777" w:rsidR="00D3601E" w:rsidRDefault="00D3601E" w:rsidP="00D3601E">
    <w:pPr>
      <w:pStyle w:val="Footer"/>
      <w:rPr>
        <w:rFonts w:ascii="Arial" w:eastAsiaTheme="majorEastAsia" w:hAnsi="Arial" w:cs="Arial"/>
        <w:sz w:val="20"/>
      </w:rPr>
    </w:pPr>
  </w:p>
  <w:p w14:paraId="29CDBB09" w14:textId="77777777" w:rsidR="00D3601E" w:rsidRPr="00813B0C" w:rsidRDefault="00D3601E" w:rsidP="00D3601E">
    <w:pPr>
      <w:pStyle w:val="Footer"/>
      <w:rPr>
        <w:rFonts w:ascii="Arial" w:eastAsiaTheme="majorEastAsia" w:hAnsi="Arial" w:cs="Arial"/>
        <w:sz w:val="20"/>
      </w:rPr>
    </w:pPr>
    <w:r>
      <w:rPr>
        <w:rFonts w:ascii="Arial" w:eastAsiaTheme="majorEastAsia" w:hAnsi="Arial" w:cs="Arial"/>
        <w:sz w:val="20"/>
      </w:rPr>
      <w:t xml:space="preserve">EBP - </w:t>
    </w:r>
    <w:r w:rsidR="0083464C">
      <w:rPr>
        <w:rFonts w:ascii="Arial" w:eastAsiaTheme="majorEastAsia" w:hAnsi="Arial" w:cs="Arial"/>
        <w:sz w:val="20"/>
      </w:rPr>
      <w:t>Strategic</w:t>
    </w:r>
    <w:r w:rsidRPr="00813B0C">
      <w:rPr>
        <w:rFonts w:ascii="Arial" w:eastAsiaTheme="majorEastAsia" w:hAnsi="Arial" w:cs="Arial"/>
        <w:sz w:val="20"/>
      </w:rPr>
      <w:ptab w:relativeTo="margin" w:alignment="center" w:leader="none"/>
    </w:r>
    <w:r w:rsidRPr="00813B0C">
      <w:rPr>
        <w:rFonts w:ascii="Arial" w:eastAsiaTheme="majorEastAsia" w:hAnsi="Arial" w:cs="Arial"/>
        <w:sz w:val="20"/>
      </w:rPr>
      <w:fldChar w:fldCharType="begin"/>
    </w:r>
    <w:r w:rsidRPr="00813B0C">
      <w:rPr>
        <w:rFonts w:ascii="Arial" w:eastAsiaTheme="majorEastAsia" w:hAnsi="Arial" w:cs="Arial"/>
        <w:sz w:val="20"/>
      </w:rPr>
      <w:instrText xml:space="preserve"> PAGE   \* MERGEFORMAT </w:instrText>
    </w:r>
    <w:r w:rsidRPr="00813B0C">
      <w:rPr>
        <w:rFonts w:ascii="Arial" w:eastAsiaTheme="majorEastAsia" w:hAnsi="Arial" w:cs="Arial"/>
        <w:sz w:val="20"/>
      </w:rPr>
      <w:fldChar w:fldCharType="separate"/>
    </w:r>
    <w:r w:rsidR="004677B8">
      <w:rPr>
        <w:rFonts w:ascii="Arial" w:eastAsiaTheme="majorEastAsia" w:hAnsi="Arial" w:cs="Arial"/>
        <w:noProof/>
        <w:sz w:val="20"/>
      </w:rPr>
      <w:t>1</w:t>
    </w:r>
    <w:r w:rsidRPr="00813B0C">
      <w:rPr>
        <w:rFonts w:ascii="Arial" w:eastAsiaTheme="majorEastAsia" w:hAnsi="Arial" w:cs="Arial"/>
        <w:noProof/>
        <w:sz w:val="20"/>
      </w:rPr>
      <w:fldChar w:fldCharType="end"/>
    </w:r>
    <w:r w:rsidRPr="00813B0C">
      <w:rPr>
        <w:rFonts w:ascii="Arial" w:eastAsiaTheme="majorEastAsia" w:hAnsi="Arial" w:cs="Arial"/>
        <w:sz w:val="20"/>
      </w:rPr>
      <w:ptab w:relativeTo="margin" w:alignment="right" w:leader="none"/>
    </w:r>
    <w:r w:rsidR="0053759D">
      <w:rPr>
        <w:rFonts w:ascii="Arial" w:eastAsiaTheme="majorEastAsia" w:hAnsi="Arial" w:cs="Arial"/>
        <w:sz w:val="20"/>
      </w:rPr>
      <w:t>18 June</w:t>
    </w:r>
    <w:r w:rsidR="002B64DF">
      <w:rPr>
        <w:rFonts w:ascii="Arial" w:eastAsiaTheme="majorEastAsia" w:hAnsi="Arial" w:cs="Arial"/>
        <w:sz w:val="20"/>
      </w:rPr>
      <w:t xml:space="preserve"> </w:t>
    </w:r>
    <w:r w:rsidR="00EF56DC">
      <w:rPr>
        <w:rFonts w:ascii="Arial" w:eastAsiaTheme="majorEastAsia" w:hAnsi="Arial" w:cs="Arial"/>
        <w:sz w:val="20"/>
      </w:rPr>
      <w:t>2018</w:t>
    </w:r>
  </w:p>
  <w:p w14:paraId="548D0E1A" w14:textId="77777777" w:rsidR="00D3601E" w:rsidRPr="00813B0C" w:rsidRDefault="0053759D" w:rsidP="00D3601E">
    <w:pPr>
      <w:pStyle w:val="Footer"/>
      <w:rPr>
        <w:rFonts w:ascii="Arial" w:eastAsiaTheme="majorEastAsia" w:hAnsi="Arial" w:cs="Arial"/>
        <w:sz w:val="20"/>
      </w:rPr>
    </w:pPr>
    <w:r>
      <w:rPr>
        <w:rFonts w:ascii="Arial" w:eastAsiaTheme="majorEastAsia" w:hAnsi="Arial" w:cs="Arial"/>
        <w:sz w:val="20"/>
      </w:rPr>
      <w:fldChar w:fldCharType="begin"/>
    </w:r>
    <w:r>
      <w:rPr>
        <w:rFonts w:ascii="Arial" w:eastAsiaTheme="majorEastAsia" w:hAnsi="Arial" w:cs="Arial"/>
        <w:sz w:val="20"/>
      </w:rPr>
      <w:instrText xml:space="preserve"> FILENAME \p \* MERGEFORMAT </w:instrText>
    </w:r>
    <w:r>
      <w:rPr>
        <w:rFonts w:ascii="Arial" w:eastAsiaTheme="majorEastAsia" w:hAnsi="Arial" w:cs="Arial"/>
        <w:sz w:val="20"/>
      </w:rPr>
      <w:fldChar w:fldCharType="separate"/>
    </w:r>
    <w:r>
      <w:rPr>
        <w:rFonts w:ascii="Arial" w:eastAsiaTheme="majorEastAsia" w:hAnsi="Arial" w:cs="Arial"/>
        <w:noProof/>
        <w:sz w:val="20"/>
      </w:rPr>
      <w:t>G:\ELCR\Youth Select Committee\EBP - BYC - Work Experience.docx</w:t>
    </w:r>
    <w:r>
      <w:rPr>
        <w:rFonts w:ascii="Arial" w:eastAsiaTheme="majorEastAsia" w:hAnsi="Arial" w:cs="Arial"/>
        <w:sz w:val="20"/>
      </w:rPr>
      <w:fldChar w:fldCharType="end"/>
    </w:r>
    <w:r w:rsidR="00D3601E" w:rsidRPr="00813B0C">
      <w:rPr>
        <w:rFonts w:ascii="Arial" w:eastAsiaTheme="majorEastAsia" w:hAnsi="Arial" w:cs="Arial"/>
        <w:sz w:val="20"/>
      </w:rPr>
      <w:tab/>
    </w:r>
    <w:r w:rsidR="00E3358A">
      <w:rPr>
        <w:rFonts w:ascii="Arial" w:eastAsiaTheme="majorEastAsia" w:hAnsi="Arial" w:cs="Arial"/>
        <w:sz w:val="20"/>
      </w:rPr>
      <w:t>v1</w:t>
    </w:r>
  </w:p>
  <w:p w14:paraId="4262E060" w14:textId="77777777" w:rsidR="000028A4" w:rsidRDefault="000028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9AC38" w14:textId="77777777" w:rsidR="00C5136C" w:rsidRDefault="00C5136C" w:rsidP="00C5136C">
      <w:r>
        <w:separator/>
      </w:r>
    </w:p>
  </w:footnote>
  <w:footnote w:type="continuationSeparator" w:id="0">
    <w:p w14:paraId="4B7CFCB6" w14:textId="77777777" w:rsidR="00C5136C" w:rsidRDefault="00C5136C" w:rsidP="00C5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6A76" w14:textId="77777777" w:rsidR="00B077BF" w:rsidRPr="00FB69BD" w:rsidRDefault="000526B0">
    <w:pPr>
      <w:pStyle w:val="Header"/>
      <w:rPr>
        <w:sz w:val="24"/>
        <w:szCs w:val="24"/>
      </w:rPr>
    </w:pPr>
    <w:r w:rsidRPr="000526B0">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3BC9E205" w14:textId="77777777" w:rsidR="00C5136C" w:rsidRDefault="00C51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0C20"/>
    <w:multiLevelType w:val="hybridMultilevel"/>
    <w:tmpl w:val="E9C4B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371C93"/>
    <w:multiLevelType w:val="hybridMultilevel"/>
    <w:tmpl w:val="74207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F24176"/>
    <w:multiLevelType w:val="hybridMultilevel"/>
    <w:tmpl w:val="3B82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2104C"/>
    <w:multiLevelType w:val="hybridMultilevel"/>
    <w:tmpl w:val="019E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21C64"/>
    <w:multiLevelType w:val="hybridMultilevel"/>
    <w:tmpl w:val="A8E29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EBE370B"/>
    <w:multiLevelType w:val="hybridMultilevel"/>
    <w:tmpl w:val="C204B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4141EA"/>
    <w:multiLevelType w:val="hybridMultilevel"/>
    <w:tmpl w:val="E6A02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A65FF5"/>
    <w:multiLevelType w:val="hybridMultilevel"/>
    <w:tmpl w:val="02D4B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1514CE"/>
    <w:multiLevelType w:val="hybridMultilevel"/>
    <w:tmpl w:val="CEF0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B2AE4"/>
    <w:multiLevelType w:val="hybridMultilevel"/>
    <w:tmpl w:val="2DCA1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E084A0C"/>
    <w:multiLevelType w:val="hybridMultilevel"/>
    <w:tmpl w:val="4B161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9"/>
  </w:num>
  <w:num w:numId="5">
    <w:abstractNumId w:val="0"/>
  </w:num>
  <w:num w:numId="6">
    <w:abstractNumId w:val="7"/>
  </w:num>
  <w:num w:numId="7">
    <w:abstractNumId w:val="1"/>
  </w:num>
  <w:num w:numId="8">
    <w:abstractNumId w:val="10"/>
  </w:num>
  <w:num w:numId="9">
    <w:abstractNumId w:val="0"/>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6C"/>
    <w:rsid w:val="000028A4"/>
    <w:rsid w:val="00004E58"/>
    <w:rsid w:val="00013B36"/>
    <w:rsid w:val="0001601F"/>
    <w:rsid w:val="000232A7"/>
    <w:rsid w:val="000526B0"/>
    <w:rsid w:val="00075FF7"/>
    <w:rsid w:val="0009305D"/>
    <w:rsid w:val="000E5AEA"/>
    <w:rsid w:val="00142AFD"/>
    <w:rsid w:val="00213B12"/>
    <w:rsid w:val="00214BB5"/>
    <w:rsid w:val="00236B19"/>
    <w:rsid w:val="00236EA8"/>
    <w:rsid w:val="002509B2"/>
    <w:rsid w:val="00260602"/>
    <w:rsid w:val="00267D9C"/>
    <w:rsid w:val="002774F8"/>
    <w:rsid w:val="00280CEE"/>
    <w:rsid w:val="002A0F43"/>
    <w:rsid w:val="002B1F4E"/>
    <w:rsid w:val="002B64DF"/>
    <w:rsid w:val="002B68D9"/>
    <w:rsid w:val="002F365B"/>
    <w:rsid w:val="0035531D"/>
    <w:rsid w:val="003648BD"/>
    <w:rsid w:val="00367BCF"/>
    <w:rsid w:val="003758B7"/>
    <w:rsid w:val="003A0F69"/>
    <w:rsid w:val="003B0AAA"/>
    <w:rsid w:val="003C27E7"/>
    <w:rsid w:val="003D0E22"/>
    <w:rsid w:val="003F458B"/>
    <w:rsid w:val="003F72FE"/>
    <w:rsid w:val="00417AE3"/>
    <w:rsid w:val="0042219D"/>
    <w:rsid w:val="00434239"/>
    <w:rsid w:val="004677B8"/>
    <w:rsid w:val="00496E31"/>
    <w:rsid w:val="004A1D4E"/>
    <w:rsid w:val="0053759D"/>
    <w:rsid w:val="005608F6"/>
    <w:rsid w:val="005C0667"/>
    <w:rsid w:val="005C2B14"/>
    <w:rsid w:val="00631947"/>
    <w:rsid w:val="00637CFB"/>
    <w:rsid w:val="0066136E"/>
    <w:rsid w:val="00677DCB"/>
    <w:rsid w:val="006A27D7"/>
    <w:rsid w:val="006E6E7D"/>
    <w:rsid w:val="0070681E"/>
    <w:rsid w:val="0071258E"/>
    <w:rsid w:val="00716423"/>
    <w:rsid w:val="00724695"/>
    <w:rsid w:val="0072616B"/>
    <w:rsid w:val="007346B6"/>
    <w:rsid w:val="007715C6"/>
    <w:rsid w:val="00777ABC"/>
    <w:rsid w:val="00784D26"/>
    <w:rsid w:val="00796D63"/>
    <w:rsid w:val="007C1AB7"/>
    <w:rsid w:val="008035DE"/>
    <w:rsid w:val="00811557"/>
    <w:rsid w:val="00813B0C"/>
    <w:rsid w:val="00834214"/>
    <w:rsid w:val="0083464C"/>
    <w:rsid w:val="008435ED"/>
    <w:rsid w:val="00844018"/>
    <w:rsid w:val="00895119"/>
    <w:rsid w:val="008C7614"/>
    <w:rsid w:val="008E3706"/>
    <w:rsid w:val="008F3B55"/>
    <w:rsid w:val="009011FD"/>
    <w:rsid w:val="00922A00"/>
    <w:rsid w:val="009B2CFE"/>
    <w:rsid w:val="009F0082"/>
    <w:rsid w:val="009F76A7"/>
    <w:rsid w:val="00A07427"/>
    <w:rsid w:val="00A1390E"/>
    <w:rsid w:val="00A34A6B"/>
    <w:rsid w:val="00A44155"/>
    <w:rsid w:val="00A805C7"/>
    <w:rsid w:val="00A961DE"/>
    <w:rsid w:val="00AA6559"/>
    <w:rsid w:val="00AB7780"/>
    <w:rsid w:val="00B0315E"/>
    <w:rsid w:val="00B05905"/>
    <w:rsid w:val="00B059FF"/>
    <w:rsid w:val="00B077BF"/>
    <w:rsid w:val="00B476A7"/>
    <w:rsid w:val="00BA0299"/>
    <w:rsid w:val="00BA4014"/>
    <w:rsid w:val="00BC74BE"/>
    <w:rsid w:val="00BC7A95"/>
    <w:rsid w:val="00BD3DCD"/>
    <w:rsid w:val="00BF16A5"/>
    <w:rsid w:val="00C00D9C"/>
    <w:rsid w:val="00C11C34"/>
    <w:rsid w:val="00C12B19"/>
    <w:rsid w:val="00C5136C"/>
    <w:rsid w:val="00C71217"/>
    <w:rsid w:val="00C87FA5"/>
    <w:rsid w:val="00C9657A"/>
    <w:rsid w:val="00CA72DC"/>
    <w:rsid w:val="00D02AC9"/>
    <w:rsid w:val="00D10A11"/>
    <w:rsid w:val="00D123EC"/>
    <w:rsid w:val="00D16794"/>
    <w:rsid w:val="00D23F8D"/>
    <w:rsid w:val="00D26004"/>
    <w:rsid w:val="00D352EB"/>
    <w:rsid w:val="00D3601E"/>
    <w:rsid w:val="00D45730"/>
    <w:rsid w:val="00D50DE1"/>
    <w:rsid w:val="00D62E97"/>
    <w:rsid w:val="00D67D14"/>
    <w:rsid w:val="00DB21AB"/>
    <w:rsid w:val="00DC4A86"/>
    <w:rsid w:val="00DE39E9"/>
    <w:rsid w:val="00E04438"/>
    <w:rsid w:val="00E1603F"/>
    <w:rsid w:val="00E3358A"/>
    <w:rsid w:val="00E67BD6"/>
    <w:rsid w:val="00EB6FD7"/>
    <w:rsid w:val="00EC6956"/>
    <w:rsid w:val="00EF56DC"/>
    <w:rsid w:val="00F5713F"/>
    <w:rsid w:val="00F57BC5"/>
    <w:rsid w:val="00F75897"/>
    <w:rsid w:val="00F771BF"/>
    <w:rsid w:val="00F96716"/>
    <w:rsid w:val="00FB69BD"/>
    <w:rsid w:val="00FC20F4"/>
    <w:rsid w:val="00FC2E10"/>
    <w:rsid w:val="00FC6414"/>
    <w:rsid w:val="00FC70C9"/>
    <w:rsid w:val="00FD434D"/>
    <w:rsid w:val="00FE3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150E9"/>
  <w15:docId w15:val="{A9656BCE-FD8E-47D9-B2CB-B44D3AB0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2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36C"/>
    <w:pPr>
      <w:tabs>
        <w:tab w:val="center" w:pos="4513"/>
        <w:tab w:val="right" w:pos="9026"/>
      </w:tabs>
    </w:pPr>
  </w:style>
  <w:style w:type="character" w:customStyle="1" w:styleId="HeaderChar">
    <w:name w:val="Header Char"/>
    <w:basedOn w:val="DefaultParagraphFont"/>
    <w:link w:val="Header"/>
    <w:uiPriority w:val="99"/>
    <w:rsid w:val="00C5136C"/>
  </w:style>
  <w:style w:type="paragraph" w:styleId="Footer">
    <w:name w:val="footer"/>
    <w:basedOn w:val="Normal"/>
    <w:link w:val="FooterChar"/>
    <w:uiPriority w:val="99"/>
    <w:unhideWhenUsed/>
    <w:rsid w:val="00C5136C"/>
    <w:pPr>
      <w:tabs>
        <w:tab w:val="center" w:pos="4513"/>
        <w:tab w:val="right" w:pos="9026"/>
      </w:tabs>
    </w:pPr>
  </w:style>
  <w:style w:type="character" w:customStyle="1" w:styleId="FooterChar">
    <w:name w:val="Footer Char"/>
    <w:basedOn w:val="DefaultParagraphFont"/>
    <w:link w:val="Footer"/>
    <w:uiPriority w:val="99"/>
    <w:rsid w:val="00C5136C"/>
  </w:style>
  <w:style w:type="paragraph" w:styleId="BalloonText">
    <w:name w:val="Balloon Text"/>
    <w:basedOn w:val="Normal"/>
    <w:link w:val="BalloonTextChar"/>
    <w:uiPriority w:val="99"/>
    <w:semiHidden/>
    <w:unhideWhenUsed/>
    <w:rsid w:val="00C5136C"/>
    <w:rPr>
      <w:rFonts w:ascii="Tahoma" w:hAnsi="Tahoma" w:cs="Tahoma"/>
      <w:sz w:val="16"/>
      <w:szCs w:val="16"/>
    </w:rPr>
  </w:style>
  <w:style w:type="character" w:customStyle="1" w:styleId="BalloonTextChar">
    <w:name w:val="Balloon Text Char"/>
    <w:basedOn w:val="DefaultParagraphFont"/>
    <w:link w:val="BalloonText"/>
    <w:uiPriority w:val="99"/>
    <w:semiHidden/>
    <w:rsid w:val="00C5136C"/>
    <w:rPr>
      <w:rFonts w:ascii="Tahoma" w:hAnsi="Tahoma" w:cs="Tahoma"/>
      <w:sz w:val="16"/>
      <w:szCs w:val="16"/>
    </w:rPr>
  </w:style>
  <w:style w:type="paragraph" w:customStyle="1" w:styleId="Default">
    <w:name w:val="Default"/>
    <w:rsid w:val="00DE39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B69BD"/>
    <w:pPr>
      <w:ind w:left="720"/>
      <w:contextualSpacing/>
    </w:pPr>
  </w:style>
  <w:style w:type="character" w:styleId="Hyperlink">
    <w:name w:val="Hyperlink"/>
    <w:basedOn w:val="DefaultParagraphFont"/>
    <w:uiPriority w:val="99"/>
    <w:unhideWhenUsed/>
    <w:rsid w:val="008435ED"/>
    <w:rPr>
      <w:color w:val="0000FF" w:themeColor="hyperlink"/>
      <w:u w:val="single"/>
    </w:rPr>
  </w:style>
  <w:style w:type="table" w:styleId="TableGrid">
    <w:name w:val="Table Grid"/>
    <w:basedOn w:val="TableNormal"/>
    <w:uiPriority w:val="59"/>
    <w:rsid w:val="00716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13B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3B12"/>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59"/>
    <w:rsid w:val="0021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3B12"/>
    <w:pPr>
      <w:spacing w:after="0" w:line="240" w:lineRule="auto"/>
    </w:pPr>
  </w:style>
  <w:style w:type="paragraph" w:styleId="PlainText">
    <w:name w:val="Plain Text"/>
    <w:basedOn w:val="Normal"/>
    <w:link w:val="PlainTextChar"/>
    <w:uiPriority w:val="99"/>
    <w:semiHidden/>
    <w:unhideWhenUsed/>
    <w:rsid w:val="00C71217"/>
    <w:rPr>
      <w:rFonts w:cstheme="minorBidi"/>
      <w:szCs w:val="21"/>
    </w:rPr>
  </w:style>
  <w:style w:type="character" w:customStyle="1" w:styleId="PlainTextChar">
    <w:name w:val="Plain Text Char"/>
    <w:basedOn w:val="DefaultParagraphFont"/>
    <w:link w:val="PlainText"/>
    <w:uiPriority w:val="99"/>
    <w:semiHidden/>
    <w:rsid w:val="00C71217"/>
    <w:rPr>
      <w:rFonts w:ascii="Calibri" w:hAnsi="Calibri"/>
      <w:szCs w:val="21"/>
    </w:rPr>
  </w:style>
  <w:style w:type="table" w:customStyle="1" w:styleId="TableGrid2">
    <w:name w:val="Table Grid2"/>
    <w:basedOn w:val="TableNormal"/>
    <w:next w:val="TableGrid"/>
    <w:uiPriority w:val="59"/>
    <w:rsid w:val="00D67D1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F3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1874">
      <w:bodyDiv w:val="1"/>
      <w:marLeft w:val="0"/>
      <w:marRight w:val="0"/>
      <w:marTop w:val="0"/>
      <w:marBottom w:val="0"/>
      <w:divBdr>
        <w:top w:val="none" w:sz="0" w:space="0" w:color="auto"/>
        <w:left w:val="none" w:sz="0" w:space="0" w:color="auto"/>
        <w:bottom w:val="none" w:sz="0" w:space="0" w:color="auto"/>
        <w:right w:val="none" w:sz="0" w:space="0" w:color="auto"/>
      </w:divBdr>
    </w:div>
    <w:div w:id="73816446">
      <w:bodyDiv w:val="1"/>
      <w:marLeft w:val="0"/>
      <w:marRight w:val="0"/>
      <w:marTop w:val="0"/>
      <w:marBottom w:val="0"/>
      <w:divBdr>
        <w:top w:val="none" w:sz="0" w:space="0" w:color="auto"/>
        <w:left w:val="none" w:sz="0" w:space="0" w:color="auto"/>
        <w:bottom w:val="none" w:sz="0" w:space="0" w:color="auto"/>
        <w:right w:val="none" w:sz="0" w:space="0" w:color="auto"/>
      </w:divBdr>
    </w:div>
    <w:div w:id="94862497">
      <w:bodyDiv w:val="1"/>
      <w:marLeft w:val="0"/>
      <w:marRight w:val="0"/>
      <w:marTop w:val="0"/>
      <w:marBottom w:val="0"/>
      <w:divBdr>
        <w:top w:val="none" w:sz="0" w:space="0" w:color="auto"/>
        <w:left w:val="none" w:sz="0" w:space="0" w:color="auto"/>
        <w:bottom w:val="none" w:sz="0" w:space="0" w:color="auto"/>
        <w:right w:val="none" w:sz="0" w:space="0" w:color="auto"/>
      </w:divBdr>
    </w:div>
    <w:div w:id="1158879747">
      <w:bodyDiv w:val="1"/>
      <w:marLeft w:val="0"/>
      <w:marRight w:val="0"/>
      <w:marTop w:val="0"/>
      <w:marBottom w:val="0"/>
      <w:divBdr>
        <w:top w:val="none" w:sz="0" w:space="0" w:color="auto"/>
        <w:left w:val="none" w:sz="0" w:space="0" w:color="auto"/>
        <w:bottom w:val="none" w:sz="0" w:space="0" w:color="auto"/>
        <w:right w:val="none" w:sz="0" w:space="0" w:color="auto"/>
      </w:divBdr>
    </w:div>
    <w:div w:id="1226647970">
      <w:bodyDiv w:val="1"/>
      <w:marLeft w:val="0"/>
      <w:marRight w:val="0"/>
      <w:marTop w:val="0"/>
      <w:marBottom w:val="0"/>
      <w:divBdr>
        <w:top w:val="none" w:sz="0" w:space="0" w:color="auto"/>
        <w:left w:val="none" w:sz="0" w:space="0" w:color="auto"/>
        <w:bottom w:val="none" w:sz="0" w:space="0" w:color="auto"/>
        <w:right w:val="none" w:sz="0" w:space="0" w:color="auto"/>
      </w:divBdr>
    </w:div>
    <w:div w:id="1274702303">
      <w:bodyDiv w:val="1"/>
      <w:marLeft w:val="0"/>
      <w:marRight w:val="0"/>
      <w:marTop w:val="0"/>
      <w:marBottom w:val="0"/>
      <w:divBdr>
        <w:top w:val="none" w:sz="0" w:space="0" w:color="auto"/>
        <w:left w:val="none" w:sz="0" w:space="0" w:color="auto"/>
        <w:bottom w:val="none" w:sz="0" w:space="0" w:color="auto"/>
        <w:right w:val="none" w:sz="0" w:space="0" w:color="auto"/>
      </w:divBdr>
    </w:div>
    <w:div w:id="173685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eb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Sutcliffe</dc:creator>
  <cp:lastModifiedBy>KEATING, Mariam</cp:lastModifiedBy>
  <cp:revision>2</cp:revision>
  <dcterms:created xsi:type="dcterms:W3CDTF">2018-06-19T16:04:00Z</dcterms:created>
  <dcterms:modified xsi:type="dcterms:W3CDTF">2018-06-19T16:04:00Z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907013434</vt:i4>
  </property>
</Properties>
</file>