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903B" w14:textId="77777777" w:rsidR="00857D86" w:rsidRDefault="00857D86" w:rsidP="002C1211">
      <w:pPr>
        <w:numPr>
          <w:ilvl w:val="0"/>
          <w:numId w:val="0"/>
        </w:numPr>
      </w:pPr>
    </w:p>
    <w:p w14:paraId="146DECAC" w14:textId="77777777" w:rsidR="00E8467D" w:rsidRDefault="00E8467D" w:rsidP="00734749">
      <w:pPr>
        <w:pStyle w:val="Default"/>
        <w:rPr>
          <w:rFonts w:ascii="Gill Sans MT" w:hAnsi="Gill Sans MT" w:cs="Times New Roman"/>
          <w:color w:val="auto"/>
        </w:rPr>
      </w:pPr>
    </w:p>
    <w:p w14:paraId="581D2FAA" w14:textId="77777777" w:rsidR="003C3884" w:rsidRPr="003C3884" w:rsidRDefault="003C3884" w:rsidP="003C3884">
      <w:pPr>
        <w:pStyle w:val="Default"/>
        <w:jc w:val="center"/>
        <w:rPr>
          <w:rFonts w:ascii="Gill Sans MT" w:hAnsi="Gill Sans MT" w:cs="Times New Roman"/>
          <w:color w:val="auto"/>
          <w:sz w:val="28"/>
          <w:szCs w:val="28"/>
          <w:u w:val="single"/>
        </w:rPr>
      </w:pPr>
      <w:r w:rsidRPr="003C3884">
        <w:rPr>
          <w:rFonts w:ascii="Gill Sans MT" w:hAnsi="Gill Sans MT" w:cs="Times New Roman"/>
          <w:color w:val="auto"/>
          <w:sz w:val="28"/>
          <w:szCs w:val="28"/>
          <w:u w:val="single"/>
        </w:rPr>
        <w:t>Written evidence submitted by Plymouth City Council (BYC026)</w:t>
      </w:r>
    </w:p>
    <w:p w14:paraId="72BA7AE6" w14:textId="77777777" w:rsidR="003C3884" w:rsidRDefault="003C3884" w:rsidP="00734749">
      <w:pPr>
        <w:pStyle w:val="Default"/>
        <w:rPr>
          <w:rFonts w:ascii="Gill Sans MT" w:hAnsi="Gill Sans MT" w:cs="Times New Roman"/>
          <w:color w:val="auto"/>
        </w:rPr>
      </w:pPr>
    </w:p>
    <w:p w14:paraId="7709CA34" w14:textId="77777777" w:rsidR="00442429" w:rsidRPr="00024A60" w:rsidRDefault="00024A60" w:rsidP="00734749">
      <w:pPr>
        <w:pStyle w:val="Default"/>
        <w:rPr>
          <w:rFonts w:ascii="Gill Sans MT" w:hAnsi="Gill Sans MT"/>
          <w:b/>
          <w:bCs/>
          <w:sz w:val="22"/>
          <w:szCs w:val="22"/>
        </w:rPr>
      </w:pPr>
      <w:r w:rsidRPr="00024A60">
        <w:rPr>
          <w:rFonts w:ascii="Gill Sans MT" w:hAnsi="Gill Sans MT"/>
          <w:b/>
          <w:bCs/>
          <w:sz w:val="22"/>
          <w:szCs w:val="22"/>
        </w:rPr>
        <w:t xml:space="preserve">1.0 </w:t>
      </w:r>
      <w:r w:rsidR="00442429" w:rsidRPr="00024A60">
        <w:rPr>
          <w:rFonts w:ascii="Gill Sans MT" w:hAnsi="Gill Sans MT"/>
          <w:b/>
          <w:bCs/>
          <w:sz w:val="22"/>
          <w:szCs w:val="22"/>
        </w:rPr>
        <w:t>Executive Summary</w:t>
      </w:r>
    </w:p>
    <w:p w14:paraId="4D9F2872" w14:textId="77777777" w:rsidR="00442429" w:rsidRPr="00024A60" w:rsidRDefault="00024A60" w:rsidP="0044242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1.1 </w:t>
      </w:r>
      <w:r w:rsidR="00442429" w:rsidRPr="00024A60">
        <w:rPr>
          <w:rFonts w:ascii="Gill Sans MT" w:hAnsi="Gill Sans MT"/>
          <w:color w:val="7F7F7F" w:themeColor="text1" w:themeTint="80"/>
          <w:sz w:val="22"/>
          <w:szCs w:val="22"/>
        </w:rPr>
        <w:t>Work experience is vitally important in giving young people first-hand experience of the work place and providing them with an opportunity to start thinking about the attributes, skills and knowledge they need to succeed in later life. As outlined in the Gatsby research for good career guidance, experience of work places / work experience should form part of a comprehensive strategy for careers in a school / college which is underpinned by the 8 benchmarks. It cannot be delivered in isolation. The Government has put the Careers and Enterprise Company</w:t>
      </w:r>
      <w:r w:rsidR="00442429" w:rsidRPr="00024A60">
        <w:rPr>
          <w:rStyle w:val="FootnoteReference"/>
          <w:rFonts w:ascii="Gill Sans MT" w:hAnsi="Gill Sans MT"/>
          <w:color w:val="7F7F7F" w:themeColor="text1" w:themeTint="80"/>
          <w:sz w:val="22"/>
          <w:szCs w:val="22"/>
        </w:rPr>
        <w:footnoteReference w:id="1"/>
      </w:r>
      <w:r w:rsidR="00442429" w:rsidRPr="00024A60">
        <w:rPr>
          <w:rFonts w:ascii="Gill Sans MT" w:hAnsi="Gill Sans MT"/>
          <w:color w:val="7F7F7F" w:themeColor="text1" w:themeTint="80"/>
          <w:sz w:val="22"/>
          <w:szCs w:val="22"/>
        </w:rPr>
        <w:t xml:space="preserve"> (CEC) at the heart of driving forward careers provision for young people (underpinned by the Gatsby benchmarks) and managing the allocation of a significant amount of funding towards this endeavour. It is suggested that government should review the impact of the CEC along with wider careers related programmes, and the investment in these, in order to establish how current  resources could best be utilised </w:t>
      </w:r>
      <w:r w:rsidRPr="00024A60">
        <w:rPr>
          <w:rFonts w:ascii="Gill Sans MT" w:hAnsi="Gill Sans MT"/>
          <w:color w:val="7F7F7F" w:themeColor="text1" w:themeTint="80"/>
          <w:sz w:val="22"/>
          <w:szCs w:val="22"/>
        </w:rPr>
        <w:t xml:space="preserve">to address the challenges identified with the delivery of </w:t>
      </w:r>
      <w:r w:rsidR="00C4035C">
        <w:rPr>
          <w:rFonts w:ascii="Gill Sans MT" w:hAnsi="Gill Sans MT"/>
          <w:color w:val="7F7F7F" w:themeColor="text1" w:themeTint="80"/>
          <w:sz w:val="22"/>
          <w:szCs w:val="22"/>
        </w:rPr>
        <w:t xml:space="preserve">careers and more specifically </w:t>
      </w:r>
      <w:r w:rsidRPr="00024A60">
        <w:rPr>
          <w:rFonts w:ascii="Gill Sans MT" w:hAnsi="Gill Sans MT"/>
          <w:color w:val="7F7F7F" w:themeColor="text1" w:themeTint="80"/>
          <w:sz w:val="22"/>
          <w:szCs w:val="22"/>
        </w:rPr>
        <w:t xml:space="preserve">work experience. </w:t>
      </w:r>
    </w:p>
    <w:p w14:paraId="6DDF8B7B" w14:textId="77777777" w:rsidR="00734749" w:rsidRPr="00024A60" w:rsidRDefault="00734749" w:rsidP="00734749">
      <w:pPr>
        <w:pStyle w:val="Default"/>
        <w:rPr>
          <w:rFonts w:ascii="Gill Sans MT" w:hAnsi="Gill Sans MT"/>
          <w:b/>
          <w:bCs/>
          <w:sz w:val="22"/>
          <w:szCs w:val="22"/>
        </w:rPr>
      </w:pPr>
    </w:p>
    <w:p w14:paraId="33F6E75E" w14:textId="77777777" w:rsidR="00734749" w:rsidRPr="00024A60" w:rsidRDefault="00024A60" w:rsidP="00701243">
      <w:pPr>
        <w:pStyle w:val="Default"/>
        <w:spacing w:after="42"/>
        <w:rPr>
          <w:rFonts w:ascii="Gill Sans MT" w:hAnsi="Gill Sans MT"/>
          <w:b/>
          <w:sz w:val="22"/>
          <w:szCs w:val="22"/>
        </w:rPr>
      </w:pPr>
      <w:r>
        <w:rPr>
          <w:rFonts w:ascii="Gill Sans MT" w:hAnsi="Gill Sans MT"/>
          <w:b/>
          <w:sz w:val="22"/>
          <w:szCs w:val="22"/>
        </w:rPr>
        <w:t>2</w:t>
      </w:r>
      <w:r w:rsidR="00442429" w:rsidRPr="00024A60">
        <w:rPr>
          <w:rFonts w:ascii="Gill Sans MT" w:hAnsi="Gill Sans MT"/>
          <w:b/>
          <w:sz w:val="22"/>
          <w:szCs w:val="22"/>
        </w:rPr>
        <w:t xml:space="preserve">.0 </w:t>
      </w:r>
      <w:r w:rsidR="00734749" w:rsidRPr="00024A60">
        <w:rPr>
          <w:rFonts w:ascii="Gill Sans MT" w:hAnsi="Gill Sans MT"/>
          <w:b/>
          <w:sz w:val="22"/>
          <w:szCs w:val="22"/>
        </w:rPr>
        <w:t xml:space="preserve">What does “good quality work experience” look like? What do young people and businesses expect to get from it? </w:t>
      </w:r>
    </w:p>
    <w:p w14:paraId="2216DA64" w14:textId="77777777" w:rsidR="00FA4AF6" w:rsidRPr="00024A60" w:rsidRDefault="00024A60" w:rsidP="00FA4AF6">
      <w:pPr>
        <w:numPr>
          <w:ilvl w:val="0"/>
          <w:numId w:val="0"/>
        </w:numPr>
        <w:autoSpaceDE w:val="0"/>
        <w:autoSpaceDN w:val="0"/>
        <w:adjustRightInd w:val="0"/>
        <w:spacing w:before="0"/>
        <w:rPr>
          <w:rFonts w:cs="SohoStd-Light"/>
          <w:color w:val="7F7F7F" w:themeColor="text1" w:themeTint="80"/>
          <w:sz w:val="22"/>
          <w:szCs w:val="22"/>
        </w:rPr>
      </w:pPr>
      <w:r>
        <w:rPr>
          <w:rFonts w:cs="SohoStd-Light"/>
          <w:color w:val="7F7F7F" w:themeColor="text1" w:themeTint="80"/>
          <w:sz w:val="22"/>
          <w:szCs w:val="22"/>
        </w:rPr>
        <w:t>2</w:t>
      </w:r>
      <w:r w:rsidR="00442429" w:rsidRPr="00024A60">
        <w:rPr>
          <w:rFonts w:cs="SohoStd-Light"/>
          <w:color w:val="7F7F7F" w:themeColor="text1" w:themeTint="80"/>
          <w:sz w:val="22"/>
          <w:szCs w:val="22"/>
        </w:rPr>
        <w:t xml:space="preserve">.1 </w:t>
      </w:r>
      <w:r w:rsidR="00FA4AF6" w:rsidRPr="00024A60">
        <w:rPr>
          <w:rFonts w:cs="SohoStd-Light"/>
          <w:color w:val="7F7F7F" w:themeColor="text1" w:themeTint="80"/>
          <w:sz w:val="22"/>
          <w:szCs w:val="22"/>
        </w:rPr>
        <w:t>Work-related learning (including work experience) works best when young people, their parents or carers,</w:t>
      </w:r>
      <w:r w:rsidR="0098718F" w:rsidRPr="00024A60">
        <w:rPr>
          <w:rFonts w:cs="SohoStd-Light"/>
          <w:color w:val="7F7F7F" w:themeColor="text1" w:themeTint="80"/>
          <w:sz w:val="22"/>
          <w:szCs w:val="22"/>
        </w:rPr>
        <w:t xml:space="preserve"> </w:t>
      </w:r>
      <w:r w:rsidR="00FA4AF6" w:rsidRPr="00024A60">
        <w:rPr>
          <w:rFonts w:cs="SohoStd-Light"/>
          <w:color w:val="7F7F7F" w:themeColor="text1" w:themeTint="80"/>
          <w:sz w:val="22"/>
          <w:szCs w:val="22"/>
        </w:rPr>
        <w:t>schools, colleges, employers, work-based learning providers and Education Business P</w:t>
      </w:r>
      <w:r w:rsidR="0098718F" w:rsidRPr="00024A60">
        <w:rPr>
          <w:rFonts w:cs="SohoStd-Light"/>
          <w:color w:val="7F7F7F" w:themeColor="text1" w:themeTint="80"/>
          <w:sz w:val="22"/>
          <w:szCs w:val="22"/>
        </w:rPr>
        <w:t>artnership Organisations (where they still exist)</w:t>
      </w:r>
      <w:r w:rsidR="00FA4AF6" w:rsidRPr="00024A60">
        <w:rPr>
          <w:rFonts w:cs="SohoStd-Light"/>
          <w:color w:val="7F7F7F" w:themeColor="text1" w:themeTint="80"/>
          <w:sz w:val="22"/>
          <w:szCs w:val="22"/>
        </w:rPr>
        <w:t xml:space="preserve"> work together to make it happen.</w:t>
      </w:r>
    </w:p>
    <w:p w14:paraId="61C4EE9D" w14:textId="77777777" w:rsidR="000E3B3A" w:rsidRPr="00024A60" w:rsidRDefault="000E3B3A" w:rsidP="000E3B3A">
      <w:pPr>
        <w:pStyle w:val="Default"/>
        <w:spacing w:after="42"/>
        <w:rPr>
          <w:rFonts w:ascii="Gill Sans MT" w:hAnsi="Gill Sans MT"/>
          <w:color w:val="7F7F7F" w:themeColor="text1" w:themeTint="80"/>
          <w:sz w:val="22"/>
          <w:szCs w:val="22"/>
        </w:rPr>
      </w:pPr>
    </w:p>
    <w:p w14:paraId="5B02F764" w14:textId="77777777" w:rsidR="002800F9" w:rsidRPr="00024A60" w:rsidRDefault="00024A60" w:rsidP="000E3B3A">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2</w:t>
      </w:r>
      <w:r w:rsidR="00442429" w:rsidRPr="00024A60">
        <w:rPr>
          <w:rFonts w:ascii="Gill Sans MT" w:hAnsi="Gill Sans MT"/>
          <w:color w:val="7F7F7F" w:themeColor="text1" w:themeTint="80"/>
          <w:sz w:val="22"/>
          <w:szCs w:val="22"/>
        </w:rPr>
        <w:t xml:space="preserve">.2 </w:t>
      </w:r>
      <w:r w:rsidR="002800F9" w:rsidRPr="00024A60">
        <w:rPr>
          <w:rFonts w:ascii="Gill Sans MT" w:hAnsi="Gill Sans MT"/>
          <w:color w:val="7F7F7F" w:themeColor="text1" w:themeTint="80"/>
          <w:sz w:val="22"/>
          <w:szCs w:val="22"/>
        </w:rPr>
        <w:t>The CBI report Time well spent</w:t>
      </w:r>
      <w:r w:rsidR="002800F9" w:rsidRPr="00024A60">
        <w:rPr>
          <w:rStyle w:val="FootnoteReference"/>
          <w:rFonts w:ascii="Gill Sans MT" w:hAnsi="Gill Sans MT"/>
          <w:color w:val="7F7F7F" w:themeColor="text1" w:themeTint="80"/>
          <w:sz w:val="22"/>
          <w:szCs w:val="22"/>
        </w:rPr>
        <w:footnoteReference w:id="2"/>
      </w:r>
      <w:r w:rsidR="002800F9" w:rsidRPr="00024A60">
        <w:rPr>
          <w:rFonts w:ascii="Gill Sans MT" w:hAnsi="Gill Sans MT"/>
          <w:color w:val="7F7F7F" w:themeColor="text1" w:themeTint="80"/>
          <w:sz w:val="22"/>
          <w:szCs w:val="22"/>
        </w:rPr>
        <w:t xml:space="preserve"> provides a </w:t>
      </w:r>
      <w:r w:rsidR="004D3C5F" w:rsidRPr="00024A60">
        <w:rPr>
          <w:rFonts w:ascii="Gill Sans MT" w:hAnsi="Gill Sans MT"/>
          <w:color w:val="7F7F7F" w:themeColor="text1" w:themeTint="80"/>
          <w:sz w:val="22"/>
          <w:szCs w:val="22"/>
        </w:rPr>
        <w:t>comprehensive analysis of the key aspects of good quality work experience. Including:</w:t>
      </w:r>
    </w:p>
    <w:p w14:paraId="1BD9A8EC" w14:textId="77777777" w:rsidR="002800F9" w:rsidRPr="00024A60" w:rsidRDefault="004D3C5F" w:rsidP="004D3C5F">
      <w:pPr>
        <w:pStyle w:val="Default"/>
        <w:numPr>
          <w:ilvl w:val="0"/>
          <w:numId w:val="24"/>
        </w:numPr>
        <w:spacing w:after="42"/>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Enhancing student employability</w:t>
      </w:r>
    </w:p>
    <w:p w14:paraId="0832274D" w14:textId="77777777" w:rsidR="004D3C5F" w:rsidRPr="00024A60" w:rsidRDefault="004D3C5F" w:rsidP="004D3C5F">
      <w:pPr>
        <w:pStyle w:val="Default"/>
        <w:numPr>
          <w:ilvl w:val="0"/>
          <w:numId w:val="24"/>
        </w:numPr>
        <w:spacing w:after="42"/>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 xml:space="preserve">A 3 way partnership amongst student, school </w:t>
      </w:r>
      <w:r w:rsidR="00E8467D" w:rsidRPr="00024A60">
        <w:rPr>
          <w:rFonts w:ascii="Gill Sans MT" w:hAnsi="Gill Sans MT"/>
          <w:color w:val="7F7F7F" w:themeColor="text1" w:themeTint="80"/>
          <w:sz w:val="22"/>
          <w:szCs w:val="22"/>
        </w:rPr>
        <w:t>and</w:t>
      </w:r>
      <w:r w:rsidRPr="00024A60">
        <w:rPr>
          <w:rFonts w:ascii="Gill Sans MT" w:hAnsi="Gill Sans MT"/>
          <w:color w:val="7F7F7F" w:themeColor="text1" w:themeTint="80"/>
          <w:sz w:val="22"/>
          <w:szCs w:val="22"/>
        </w:rPr>
        <w:t xml:space="preserve"> employer to get the most out of placements</w:t>
      </w:r>
    </w:p>
    <w:p w14:paraId="071A65FB" w14:textId="77777777" w:rsidR="004D3C5F" w:rsidRPr="00024A60" w:rsidRDefault="004D3C5F" w:rsidP="004D3C5F">
      <w:pPr>
        <w:pStyle w:val="Default"/>
        <w:numPr>
          <w:ilvl w:val="0"/>
          <w:numId w:val="24"/>
        </w:numPr>
        <w:spacing w:after="42"/>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Employer vision for successful plac</w:t>
      </w:r>
      <w:r w:rsidR="003B292B" w:rsidRPr="00024A60">
        <w:rPr>
          <w:rFonts w:ascii="Gill Sans MT" w:hAnsi="Gill Sans MT"/>
          <w:color w:val="7F7F7F" w:themeColor="text1" w:themeTint="80"/>
          <w:sz w:val="22"/>
          <w:szCs w:val="22"/>
        </w:rPr>
        <w:t>emen</w:t>
      </w:r>
      <w:r w:rsidRPr="00024A60">
        <w:rPr>
          <w:rFonts w:ascii="Gill Sans MT" w:hAnsi="Gill Sans MT"/>
          <w:color w:val="7F7F7F" w:themeColor="text1" w:themeTint="80"/>
          <w:sz w:val="22"/>
          <w:szCs w:val="22"/>
        </w:rPr>
        <w:t xml:space="preserve">ts, objectives, tasks </w:t>
      </w:r>
      <w:r w:rsidR="00E8467D" w:rsidRPr="00024A60">
        <w:rPr>
          <w:rFonts w:ascii="Gill Sans MT" w:hAnsi="Gill Sans MT"/>
          <w:color w:val="7F7F7F" w:themeColor="text1" w:themeTint="80"/>
          <w:sz w:val="22"/>
          <w:szCs w:val="22"/>
        </w:rPr>
        <w:t>and</w:t>
      </w:r>
      <w:r w:rsidRPr="00024A60">
        <w:rPr>
          <w:rFonts w:ascii="Gill Sans MT" w:hAnsi="Gill Sans MT"/>
          <w:color w:val="7F7F7F" w:themeColor="text1" w:themeTint="80"/>
          <w:sz w:val="22"/>
          <w:szCs w:val="22"/>
        </w:rPr>
        <w:t xml:space="preserve"> activities that embed competencies</w:t>
      </w:r>
    </w:p>
    <w:p w14:paraId="1AC6F9B8" w14:textId="77777777" w:rsidR="004D3C5F" w:rsidRPr="00024A60" w:rsidRDefault="004D3C5F" w:rsidP="004D3C5F">
      <w:pPr>
        <w:pStyle w:val="Default"/>
        <w:numPr>
          <w:ilvl w:val="0"/>
          <w:numId w:val="24"/>
        </w:numPr>
        <w:spacing w:after="42"/>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 xml:space="preserve">Student review </w:t>
      </w:r>
      <w:r w:rsidR="00E8467D" w:rsidRPr="00024A60">
        <w:rPr>
          <w:rFonts w:ascii="Gill Sans MT" w:hAnsi="Gill Sans MT"/>
          <w:color w:val="7F7F7F" w:themeColor="text1" w:themeTint="80"/>
          <w:sz w:val="22"/>
          <w:szCs w:val="22"/>
        </w:rPr>
        <w:t>and</w:t>
      </w:r>
      <w:r w:rsidRPr="00024A60">
        <w:rPr>
          <w:rFonts w:ascii="Gill Sans MT" w:hAnsi="Gill Sans MT"/>
          <w:color w:val="7F7F7F" w:themeColor="text1" w:themeTint="80"/>
          <w:sz w:val="22"/>
          <w:szCs w:val="22"/>
        </w:rPr>
        <w:t xml:space="preserve"> for schools</w:t>
      </w:r>
      <w:r w:rsidR="003B292B" w:rsidRPr="00024A60">
        <w:rPr>
          <w:rFonts w:ascii="Gill Sans MT" w:hAnsi="Gill Sans MT"/>
          <w:color w:val="7F7F7F" w:themeColor="text1" w:themeTint="80"/>
          <w:sz w:val="22"/>
          <w:szCs w:val="22"/>
        </w:rPr>
        <w:t xml:space="preserve"> to reinforce the lessons learnt</w:t>
      </w:r>
      <w:r w:rsidRPr="00024A60">
        <w:rPr>
          <w:rFonts w:ascii="Gill Sans MT" w:hAnsi="Gill Sans MT"/>
          <w:color w:val="7F7F7F" w:themeColor="text1" w:themeTint="80"/>
          <w:sz w:val="22"/>
          <w:szCs w:val="22"/>
        </w:rPr>
        <w:t xml:space="preserve"> from work experience</w:t>
      </w:r>
      <w:r w:rsidR="003D7606" w:rsidRPr="00024A60">
        <w:rPr>
          <w:rFonts w:ascii="Gill Sans MT" w:hAnsi="Gill Sans MT"/>
          <w:color w:val="7F7F7F" w:themeColor="text1" w:themeTint="80"/>
          <w:sz w:val="22"/>
          <w:szCs w:val="22"/>
        </w:rPr>
        <w:t>.</w:t>
      </w:r>
    </w:p>
    <w:p w14:paraId="5E66CFC6" w14:textId="77777777" w:rsidR="004D3C5F" w:rsidRPr="00024A60" w:rsidRDefault="004D3C5F" w:rsidP="0098718F">
      <w:pPr>
        <w:pStyle w:val="Default"/>
        <w:spacing w:after="42"/>
        <w:ind w:left="360"/>
        <w:rPr>
          <w:rFonts w:ascii="Gill Sans MT" w:hAnsi="Gill Sans MT"/>
          <w:color w:val="7F7F7F" w:themeColor="text1" w:themeTint="80"/>
          <w:sz w:val="22"/>
          <w:szCs w:val="22"/>
        </w:rPr>
      </w:pPr>
    </w:p>
    <w:p w14:paraId="293DC728" w14:textId="77777777" w:rsidR="004D3C5F" w:rsidRPr="00024A60" w:rsidRDefault="00024A60" w:rsidP="000E3B3A">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2</w:t>
      </w:r>
      <w:r w:rsidR="00442429" w:rsidRPr="00024A60">
        <w:rPr>
          <w:rFonts w:ascii="Gill Sans MT" w:hAnsi="Gill Sans MT"/>
          <w:color w:val="7F7F7F" w:themeColor="text1" w:themeTint="80"/>
          <w:sz w:val="22"/>
          <w:szCs w:val="22"/>
        </w:rPr>
        <w:t xml:space="preserve">.3 </w:t>
      </w:r>
      <w:r w:rsidR="0098718F" w:rsidRPr="00024A60">
        <w:rPr>
          <w:rFonts w:ascii="Gill Sans MT" w:hAnsi="Gill Sans MT"/>
          <w:color w:val="7F7F7F" w:themeColor="text1" w:themeTint="80"/>
          <w:sz w:val="22"/>
          <w:szCs w:val="22"/>
        </w:rPr>
        <w:t>The OCR</w:t>
      </w:r>
      <w:r w:rsidR="0098718F" w:rsidRPr="00024A60">
        <w:rPr>
          <w:rStyle w:val="FootnoteReference"/>
          <w:rFonts w:ascii="Gill Sans MT" w:hAnsi="Gill Sans MT"/>
          <w:color w:val="7F7F7F" w:themeColor="text1" w:themeTint="80"/>
          <w:sz w:val="22"/>
          <w:szCs w:val="22"/>
        </w:rPr>
        <w:footnoteReference w:id="3"/>
      </w:r>
      <w:r w:rsidR="0098718F" w:rsidRPr="00024A60">
        <w:rPr>
          <w:rFonts w:ascii="Gill Sans MT" w:hAnsi="Gill Sans MT"/>
          <w:color w:val="7F7F7F" w:themeColor="text1" w:themeTint="80"/>
          <w:sz w:val="22"/>
          <w:szCs w:val="22"/>
        </w:rPr>
        <w:t xml:space="preserve"> has also produced a report that outlines be</w:t>
      </w:r>
      <w:r w:rsidR="00701243" w:rsidRPr="00024A60">
        <w:rPr>
          <w:rFonts w:ascii="Gill Sans MT" w:hAnsi="Gill Sans MT"/>
          <w:color w:val="7F7F7F" w:themeColor="text1" w:themeTint="80"/>
          <w:sz w:val="22"/>
          <w:szCs w:val="22"/>
        </w:rPr>
        <w:t>st practice in work experience to ensure good quality experiences for young people and employers.</w:t>
      </w:r>
    </w:p>
    <w:p w14:paraId="420E1668" w14:textId="77777777" w:rsidR="002800F9" w:rsidRPr="00024A60" w:rsidRDefault="002800F9" w:rsidP="000E3B3A">
      <w:pPr>
        <w:pStyle w:val="Default"/>
        <w:spacing w:after="42"/>
        <w:rPr>
          <w:rFonts w:ascii="Gill Sans MT" w:hAnsi="Gill Sans MT"/>
          <w:sz w:val="22"/>
          <w:szCs w:val="22"/>
        </w:rPr>
      </w:pPr>
    </w:p>
    <w:p w14:paraId="317E7B8F" w14:textId="77777777" w:rsidR="00734749" w:rsidRPr="00024A60" w:rsidRDefault="00024A60" w:rsidP="00734749">
      <w:pPr>
        <w:pStyle w:val="Default"/>
        <w:rPr>
          <w:rFonts w:ascii="Gill Sans MT" w:hAnsi="Gill Sans MT"/>
          <w:b/>
          <w:sz w:val="22"/>
          <w:szCs w:val="22"/>
        </w:rPr>
      </w:pPr>
      <w:r>
        <w:rPr>
          <w:rFonts w:ascii="Gill Sans MT" w:hAnsi="Gill Sans MT"/>
          <w:b/>
          <w:sz w:val="22"/>
          <w:szCs w:val="22"/>
        </w:rPr>
        <w:t>3</w:t>
      </w:r>
      <w:r w:rsidR="00442429" w:rsidRPr="00024A60">
        <w:rPr>
          <w:rFonts w:ascii="Gill Sans MT" w:hAnsi="Gill Sans MT"/>
          <w:b/>
          <w:sz w:val="22"/>
          <w:szCs w:val="22"/>
        </w:rPr>
        <w:t xml:space="preserve">.0 </w:t>
      </w:r>
      <w:r w:rsidR="00734749" w:rsidRPr="00024A60">
        <w:rPr>
          <w:rFonts w:ascii="Gill Sans MT" w:hAnsi="Gill Sans MT"/>
          <w:b/>
          <w:sz w:val="22"/>
          <w:szCs w:val="22"/>
        </w:rPr>
        <w:t xml:space="preserve">How important is good quality work experience to a successful industrial strategy? </w:t>
      </w:r>
    </w:p>
    <w:p w14:paraId="5C56E661" w14:textId="77777777" w:rsidR="000E3B3A" w:rsidRPr="00024A60" w:rsidRDefault="00024A60" w:rsidP="000E3B3A">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3</w:t>
      </w:r>
      <w:r w:rsidR="00442429" w:rsidRPr="00024A60">
        <w:rPr>
          <w:rFonts w:ascii="Gill Sans MT" w:hAnsi="Gill Sans MT"/>
          <w:color w:val="7F7F7F" w:themeColor="text1" w:themeTint="80"/>
          <w:sz w:val="22"/>
          <w:szCs w:val="22"/>
        </w:rPr>
        <w:t xml:space="preserve">.1 </w:t>
      </w:r>
      <w:r w:rsidR="000E3B3A" w:rsidRPr="00024A60">
        <w:rPr>
          <w:rFonts w:ascii="Gill Sans MT" w:hAnsi="Gill Sans MT"/>
          <w:color w:val="7F7F7F" w:themeColor="text1" w:themeTint="80"/>
          <w:sz w:val="22"/>
          <w:szCs w:val="22"/>
        </w:rPr>
        <w:t xml:space="preserve">As the workforce of the future, preparing young people for the world of work is vital to a successful industrial strategy. Work experience has a key role to play within this, giving young people </w:t>
      </w:r>
      <w:r w:rsidR="0098718F" w:rsidRPr="00024A60">
        <w:rPr>
          <w:rFonts w:ascii="Gill Sans MT" w:hAnsi="Gill Sans MT"/>
          <w:color w:val="7F7F7F" w:themeColor="text1" w:themeTint="80"/>
          <w:sz w:val="22"/>
          <w:szCs w:val="22"/>
        </w:rPr>
        <w:t>first-hand</w:t>
      </w:r>
      <w:r w:rsidR="000E3B3A" w:rsidRPr="00024A60">
        <w:rPr>
          <w:rFonts w:ascii="Gill Sans MT" w:hAnsi="Gill Sans MT"/>
          <w:color w:val="7F7F7F" w:themeColor="text1" w:themeTint="80"/>
          <w:sz w:val="22"/>
          <w:szCs w:val="22"/>
        </w:rPr>
        <w:t xml:space="preserve"> experience of the work place </w:t>
      </w:r>
      <w:r w:rsidR="00E8467D" w:rsidRPr="00024A60">
        <w:rPr>
          <w:rFonts w:ascii="Gill Sans MT" w:hAnsi="Gill Sans MT"/>
          <w:color w:val="7F7F7F" w:themeColor="text1" w:themeTint="80"/>
          <w:sz w:val="22"/>
          <w:szCs w:val="22"/>
        </w:rPr>
        <w:t>and</w:t>
      </w:r>
      <w:r w:rsidR="000E3B3A" w:rsidRPr="00024A60">
        <w:rPr>
          <w:rFonts w:ascii="Gill Sans MT" w:hAnsi="Gill Sans MT"/>
          <w:color w:val="7F7F7F" w:themeColor="text1" w:themeTint="80"/>
          <w:sz w:val="22"/>
          <w:szCs w:val="22"/>
        </w:rPr>
        <w:t xml:space="preserve"> providing them with an opportunity to start thinking about the attributes, skills and knowledge they need to succeed.</w:t>
      </w:r>
    </w:p>
    <w:p w14:paraId="0CD0F161" w14:textId="77777777" w:rsidR="0098718F" w:rsidRPr="00024A60" w:rsidRDefault="0098718F" w:rsidP="000E3B3A">
      <w:pPr>
        <w:pStyle w:val="Default"/>
        <w:spacing w:after="42"/>
        <w:rPr>
          <w:rFonts w:ascii="Gill Sans MT" w:hAnsi="Gill Sans MT"/>
          <w:color w:val="7F7F7F" w:themeColor="text1" w:themeTint="80"/>
          <w:sz w:val="22"/>
          <w:szCs w:val="22"/>
        </w:rPr>
      </w:pPr>
    </w:p>
    <w:p w14:paraId="46C8DD6C" w14:textId="77777777" w:rsidR="002800F9" w:rsidRPr="00024A60" w:rsidRDefault="00024A60" w:rsidP="000E3B3A">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3</w:t>
      </w:r>
      <w:r w:rsidR="00442429" w:rsidRPr="00024A60">
        <w:rPr>
          <w:rFonts w:ascii="Gill Sans MT" w:hAnsi="Gill Sans MT"/>
          <w:color w:val="7F7F7F" w:themeColor="text1" w:themeTint="80"/>
          <w:sz w:val="22"/>
          <w:szCs w:val="22"/>
        </w:rPr>
        <w:t xml:space="preserve">.2 </w:t>
      </w:r>
      <w:r w:rsidR="002800F9" w:rsidRPr="00024A60">
        <w:rPr>
          <w:rFonts w:ascii="Gill Sans MT" w:hAnsi="Gill Sans MT"/>
          <w:color w:val="7F7F7F" w:themeColor="text1" w:themeTint="80"/>
          <w:sz w:val="22"/>
          <w:szCs w:val="22"/>
        </w:rPr>
        <w:t>A survey carried out by the British Chambers of Commerce</w:t>
      </w:r>
      <w:r w:rsidR="002800F9" w:rsidRPr="00024A60">
        <w:rPr>
          <w:rStyle w:val="FootnoteReference"/>
          <w:rFonts w:ascii="Gill Sans MT" w:hAnsi="Gill Sans MT"/>
          <w:color w:val="7F7F7F" w:themeColor="text1" w:themeTint="80"/>
          <w:sz w:val="22"/>
          <w:szCs w:val="22"/>
        </w:rPr>
        <w:footnoteReference w:id="4"/>
      </w:r>
      <w:r w:rsidR="002800F9" w:rsidRPr="00024A60">
        <w:rPr>
          <w:rFonts w:ascii="Gill Sans MT" w:hAnsi="Gill Sans MT"/>
          <w:color w:val="7F7F7F" w:themeColor="text1" w:themeTint="80"/>
          <w:sz w:val="22"/>
          <w:szCs w:val="22"/>
        </w:rPr>
        <w:t xml:space="preserve"> suggested that work experience should be offered to all school children under the age of 16 to help young people make informed </w:t>
      </w:r>
      <w:r w:rsidR="0098718F" w:rsidRPr="00024A60">
        <w:rPr>
          <w:rFonts w:ascii="Gill Sans MT" w:hAnsi="Gill Sans MT"/>
          <w:color w:val="7F7F7F" w:themeColor="text1" w:themeTint="80"/>
          <w:sz w:val="22"/>
          <w:szCs w:val="22"/>
        </w:rPr>
        <w:t>decisions</w:t>
      </w:r>
      <w:r w:rsidR="002800F9" w:rsidRPr="00024A60">
        <w:rPr>
          <w:rFonts w:ascii="Gill Sans MT" w:hAnsi="Gill Sans MT"/>
          <w:color w:val="7F7F7F" w:themeColor="text1" w:themeTint="80"/>
          <w:sz w:val="22"/>
          <w:szCs w:val="22"/>
        </w:rPr>
        <w:t xml:space="preserve"> about their future careers, address skills gaps within our economy </w:t>
      </w:r>
      <w:r w:rsidR="00E8467D" w:rsidRPr="00024A60">
        <w:rPr>
          <w:rFonts w:ascii="Gill Sans MT" w:hAnsi="Gill Sans MT"/>
          <w:color w:val="7F7F7F" w:themeColor="text1" w:themeTint="80"/>
          <w:sz w:val="22"/>
          <w:szCs w:val="22"/>
        </w:rPr>
        <w:t>and</w:t>
      </w:r>
      <w:r w:rsidR="002800F9" w:rsidRPr="00024A60">
        <w:rPr>
          <w:rFonts w:ascii="Gill Sans MT" w:hAnsi="Gill Sans MT"/>
          <w:color w:val="7F7F7F" w:themeColor="text1" w:themeTint="80"/>
          <w:sz w:val="22"/>
          <w:szCs w:val="22"/>
        </w:rPr>
        <w:t xml:space="preserve"> prevent youth unemployment.</w:t>
      </w:r>
    </w:p>
    <w:p w14:paraId="22E34124" w14:textId="77777777" w:rsidR="0098718F" w:rsidRPr="00024A60" w:rsidRDefault="0098718F" w:rsidP="000E3B3A">
      <w:pPr>
        <w:pStyle w:val="Default"/>
        <w:spacing w:after="42"/>
        <w:rPr>
          <w:rFonts w:ascii="Gill Sans MT" w:hAnsi="Gill Sans MT"/>
          <w:color w:val="7F7F7F" w:themeColor="text1" w:themeTint="80"/>
          <w:sz w:val="22"/>
          <w:szCs w:val="22"/>
        </w:rPr>
      </w:pPr>
    </w:p>
    <w:p w14:paraId="0346D1CE" w14:textId="77777777" w:rsidR="00734749" w:rsidRPr="00024A60" w:rsidRDefault="00024A60" w:rsidP="003D7606">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3</w:t>
      </w:r>
      <w:r w:rsidR="00442429" w:rsidRPr="00024A60">
        <w:rPr>
          <w:rFonts w:ascii="Gill Sans MT" w:hAnsi="Gill Sans MT"/>
          <w:color w:val="7F7F7F" w:themeColor="text1" w:themeTint="80"/>
          <w:sz w:val="22"/>
          <w:szCs w:val="22"/>
        </w:rPr>
        <w:t xml:space="preserve">.3 </w:t>
      </w:r>
      <w:r w:rsidR="002800F9" w:rsidRPr="00024A60">
        <w:rPr>
          <w:rFonts w:ascii="Gill Sans MT" w:hAnsi="Gill Sans MT"/>
          <w:color w:val="7F7F7F" w:themeColor="text1" w:themeTint="80"/>
          <w:sz w:val="22"/>
          <w:szCs w:val="22"/>
        </w:rPr>
        <w:t>A</w:t>
      </w:r>
      <w:r w:rsidR="000E3B3A" w:rsidRPr="00024A60">
        <w:rPr>
          <w:rFonts w:ascii="Gill Sans MT" w:hAnsi="Gill Sans MT"/>
          <w:color w:val="7F7F7F" w:themeColor="text1" w:themeTint="80"/>
          <w:sz w:val="22"/>
          <w:szCs w:val="22"/>
        </w:rPr>
        <w:t>s outlined in the Gatsby report for Good Careers Guidance</w:t>
      </w:r>
      <w:r w:rsidR="002800F9" w:rsidRPr="00024A60">
        <w:rPr>
          <w:rStyle w:val="FootnoteReference"/>
          <w:rFonts w:ascii="Gill Sans MT" w:hAnsi="Gill Sans MT"/>
          <w:color w:val="7F7F7F" w:themeColor="text1" w:themeTint="80"/>
          <w:sz w:val="22"/>
          <w:szCs w:val="22"/>
        </w:rPr>
        <w:footnoteReference w:id="5"/>
      </w:r>
      <w:r w:rsidR="002800F9" w:rsidRPr="00024A60">
        <w:rPr>
          <w:rFonts w:ascii="Gill Sans MT" w:hAnsi="Gill Sans MT"/>
          <w:color w:val="7F7F7F" w:themeColor="text1" w:themeTint="80"/>
          <w:sz w:val="22"/>
          <w:szCs w:val="22"/>
        </w:rPr>
        <w:t xml:space="preserve"> young people need to have experience of workplaces as part of a number of other </w:t>
      </w:r>
      <w:r w:rsidR="00701243" w:rsidRPr="00024A60">
        <w:rPr>
          <w:rFonts w:ascii="Gill Sans MT" w:hAnsi="Gill Sans MT"/>
          <w:color w:val="7F7F7F" w:themeColor="text1" w:themeTint="80"/>
          <w:sz w:val="22"/>
          <w:szCs w:val="22"/>
        </w:rPr>
        <w:t xml:space="preserve">key </w:t>
      </w:r>
      <w:r w:rsidR="002800F9" w:rsidRPr="00024A60">
        <w:rPr>
          <w:rFonts w:ascii="Gill Sans MT" w:hAnsi="Gill Sans MT"/>
          <w:color w:val="7F7F7F" w:themeColor="text1" w:themeTint="80"/>
          <w:sz w:val="22"/>
          <w:szCs w:val="22"/>
        </w:rPr>
        <w:t xml:space="preserve">things </w:t>
      </w:r>
      <w:r w:rsidR="0098718F" w:rsidRPr="00024A60">
        <w:rPr>
          <w:rFonts w:ascii="Gill Sans MT" w:hAnsi="Gill Sans MT"/>
          <w:color w:val="7F7F7F" w:themeColor="text1" w:themeTint="80"/>
          <w:sz w:val="22"/>
          <w:szCs w:val="22"/>
        </w:rPr>
        <w:t>identified</w:t>
      </w:r>
      <w:r w:rsidR="002800F9" w:rsidRPr="00024A60">
        <w:rPr>
          <w:rFonts w:ascii="Gill Sans MT" w:hAnsi="Gill Sans MT"/>
          <w:color w:val="7F7F7F" w:themeColor="text1" w:themeTint="80"/>
          <w:sz w:val="22"/>
          <w:szCs w:val="22"/>
        </w:rPr>
        <w:t xml:space="preserve"> within their 8 benchmarks. These experiences need to be provided consistently </w:t>
      </w:r>
      <w:r w:rsidR="00E8467D" w:rsidRPr="00024A60">
        <w:rPr>
          <w:rFonts w:ascii="Gill Sans MT" w:hAnsi="Gill Sans MT"/>
          <w:color w:val="7F7F7F" w:themeColor="text1" w:themeTint="80"/>
          <w:sz w:val="22"/>
          <w:szCs w:val="22"/>
        </w:rPr>
        <w:t>and</w:t>
      </w:r>
      <w:r w:rsidR="002800F9" w:rsidRPr="00024A60">
        <w:rPr>
          <w:rFonts w:ascii="Gill Sans MT" w:hAnsi="Gill Sans MT"/>
          <w:color w:val="7F7F7F" w:themeColor="text1" w:themeTint="80"/>
          <w:sz w:val="22"/>
          <w:szCs w:val="22"/>
        </w:rPr>
        <w:t xml:space="preserve"> well to have the greatest impact. </w:t>
      </w:r>
    </w:p>
    <w:p w14:paraId="4EEB8980" w14:textId="77777777" w:rsidR="00734749" w:rsidRPr="00024A60" w:rsidRDefault="00734749" w:rsidP="00734749">
      <w:pPr>
        <w:pStyle w:val="Default"/>
        <w:rPr>
          <w:rFonts w:ascii="Gill Sans MT" w:hAnsi="Gill Sans MT"/>
          <w:b/>
          <w:sz w:val="22"/>
          <w:szCs w:val="22"/>
        </w:rPr>
      </w:pPr>
    </w:p>
    <w:p w14:paraId="3D06E026" w14:textId="77777777" w:rsidR="00024A60" w:rsidRDefault="00024A60">
      <w:pPr>
        <w:numPr>
          <w:ilvl w:val="0"/>
          <w:numId w:val="0"/>
        </w:numPr>
        <w:spacing w:before="0"/>
        <w:rPr>
          <w:rFonts w:cs="Arial"/>
          <w:b/>
          <w:color w:val="000000"/>
          <w:sz w:val="22"/>
          <w:szCs w:val="22"/>
        </w:rPr>
      </w:pPr>
      <w:r>
        <w:rPr>
          <w:b/>
          <w:sz w:val="22"/>
          <w:szCs w:val="22"/>
        </w:rPr>
        <w:br w:type="page"/>
      </w:r>
    </w:p>
    <w:p w14:paraId="4BD1EAD2" w14:textId="77777777" w:rsidR="00734749" w:rsidRPr="00024A60" w:rsidRDefault="00024A60" w:rsidP="00701243">
      <w:pPr>
        <w:pStyle w:val="Default"/>
        <w:rPr>
          <w:rFonts w:ascii="Gill Sans MT" w:hAnsi="Gill Sans MT"/>
          <w:b/>
          <w:sz w:val="22"/>
          <w:szCs w:val="22"/>
        </w:rPr>
      </w:pPr>
      <w:r>
        <w:rPr>
          <w:rFonts w:ascii="Gill Sans MT" w:hAnsi="Gill Sans MT"/>
          <w:b/>
          <w:sz w:val="22"/>
          <w:szCs w:val="22"/>
        </w:rPr>
        <w:lastRenderedPageBreak/>
        <w:t xml:space="preserve">4.0 </w:t>
      </w:r>
      <w:r w:rsidR="00734749" w:rsidRPr="00024A60">
        <w:rPr>
          <w:rFonts w:ascii="Gill Sans MT" w:hAnsi="Gill Sans MT"/>
          <w:b/>
          <w:sz w:val="22"/>
          <w:szCs w:val="22"/>
        </w:rPr>
        <w:t xml:space="preserve">What evidence is there that work experience boosts social mobility? </w:t>
      </w:r>
    </w:p>
    <w:p w14:paraId="4F2A4C09" w14:textId="77777777" w:rsidR="00E8467D" w:rsidRPr="00024A60" w:rsidRDefault="00024A60" w:rsidP="003D7606">
      <w:pPr>
        <w:pStyle w:val="Default"/>
        <w:rPr>
          <w:rFonts w:ascii="Gill Sans MT" w:hAnsi="Gill Sans MT" w:cs="Segoe UI"/>
          <w:color w:val="7F7F7F" w:themeColor="text1" w:themeTint="80"/>
          <w:sz w:val="22"/>
          <w:szCs w:val="22"/>
        </w:rPr>
      </w:pPr>
      <w:r>
        <w:rPr>
          <w:rFonts w:ascii="Gill Sans MT" w:hAnsi="Gill Sans MT" w:cs="Segoe UI"/>
          <w:color w:val="7F7F7F" w:themeColor="text1" w:themeTint="80"/>
          <w:sz w:val="22"/>
          <w:szCs w:val="22"/>
        </w:rPr>
        <w:t xml:space="preserve">4.1 </w:t>
      </w:r>
      <w:r w:rsidR="009F3713" w:rsidRPr="00024A60">
        <w:rPr>
          <w:rFonts w:ascii="Gill Sans MT" w:hAnsi="Gill Sans MT" w:cs="Segoe UI"/>
          <w:color w:val="7F7F7F" w:themeColor="text1" w:themeTint="80"/>
          <w:sz w:val="22"/>
          <w:szCs w:val="22"/>
        </w:rPr>
        <w:t xml:space="preserve">The findings from a research report into work experience placements </w:t>
      </w:r>
      <w:r w:rsidR="00E8467D" w:rsidRPr="00024A60">
        <w:rPr>
          <w:rFonts w:ascii="Gill Sans MT" w:hAnsi="Gill Sans MT" w:cs="Segoe UI"/>
          <w:color w:val="7F7F7F" w:themeColor="text1" w:themeTint="80"/>
          <w:sz w:val="22"/>
          <w:szCs w:val="22"/>
        </w:rPr>
        <w:t>and</w:t>
      </w:r>
      <w:r w:rsidR="009F3713" w:rsidRPr="00024A60">
        <w:rPr>
          <w:rFonts w:ascii="Gill Sans MT" w:hAnsi="Gill Sans MT" w:cs="Segoe UI"/>
          <w:color w:val="7F7F7F" w:themeColor="text1" w:themeTint="80"/>
          <w:sz w:val="22"/>
          <w:szCs w:val="22"/>
        </w:rPr>
        <w:t xml:space="preserve"> social inequality</w:t>
      </w:r>
      <w:r w:rsidR="009F3713" w:rsidRPr="00024A60">
        <w:rPr>
          <w:rStyle w:val="FootnoteReference"/>
          <w:rFonts w:ascii="Gill Sans MT" w:hAnsi="Gill Sans MT" w:cs="Segoe UI"/>
          <w:color w:val="7F7F7F" w:themeColor="text1" w:themeTint="80"/>
          <w:sz w:val="22"/>
          <w:szCs w:val="22"/>
        </w:rPr>
        <w:footnoteReference w:id="6"/>
      </w:r>
      <w:r w:rsidR="009F3713" w:rsidRPr="00024A60">
        <w:rPr>
          <w:rFonts w:ascii="Gill Sans MT" w:hAnsi="Gill Sans MT" w:cs="Segoe UI"/>
          <w:color w:val="7F7F7F" w:themeColor="text1" w:themeTint="80"/>
          <w:sz w:val="22"/>
          <w:szCs w:val="22"/>
        </w:rPr>
        <w:t xml:space="preserve"> </w:t>
      </w:r>
      <w:r w:rsidR="004D3C5F" w:rsidRPr="00024A60">
        <w:rPr>
          <w:rFonts w:ascii="Gill Sans MT" w:hAnsi="Gill Sans MT" w:cs="Segoe UI"/>
          <w:color w:val="7F7F7F" w:themeColor="text1" w:themeTint="80"/>
          <w:sz w:val="22"/>
          <w:szCs w:val="22"/>
        </w:rPr>
        <w:t>generally support</w:t>
      </w:r>
      <w:r w:rsidR="009F3713" w:rsidRPr="00024A60">
        <w:rPr>
          <w:rFonts w:ascii="Gill Sans MT" w:hAnsi="Gill Sans MT" w:cs="Segoe UI"/>
          <w:color w:val="7F7F7F" w:themeColor="text1" w:themeTint="80"/>
          <w:sz w:val="22"/>
          <w:szCs w:val="22"/>
        </w:rPr>
        <w:t>ed the view that the lower the socio economic status</w:t>
      </w:r>
      <w:r w:rsidR="004D3C5F" w:rsidRPr="00024A60">
        <w:rPr>
          <w:rFonts w:ascii="Gill Sans MT" w:hAnsi="Gill Sans MT" w:cs="Segoe UI"/>
          <w:color w:val="7F7F7F" w:themeColor="text1" w:themeTint="80"/>
          <w:sz w:val="22"/>
          <w:szCs w:val="22"/>
        </w:rPr>
        <w:t xml:space="preserve"> of the school, the greater the likelihood</w:t>
      </w:r>
      <w:r w:rsidR="009F3713" w:rsidRPr="00024A60">
        <w:rPr>
          <w:rFonts w:ascii="Gill Sans MT" w:hAnsi="Gill Sans MT" w:cs="Segoe UI"/>
          <w:color w:val="7F7F7F" w:themeColor="text1" w:themeTint="80"/>
          <w:sz w:val="22"/>
          <w:szCs w:val="22"/>
        </w:rPr>
        <w:t xml:space="preserve"> of students being placed in work experience roles</w:t>
      </w:r>
      <w:r w:rsidR="004D3C5F" w:rsidRPr="00024A60">
        <w:rPr>
          <w:rFonts w:ascii="Gill Sans MT" w:hAnsi="Gill Sans MT" w:cs="Segoe UI"/>
          <w:color w:val="7F7F7F" w:themeColor="text1" w:themeTint="80"/>
          <w:sz w:val="22"/>
          <w:szCs w:val="22"/>
        </w:rPr>
        <w:t xml:space="preserve"> that reproduce patterns of social inequality. Social class is found to play a large</w:t>
      </w:r>
      <w:r w:rsidR="009F3713" w:rsidRPr="00024A60">
        <w:rPr>
          <w:rFonts w:ascii="Gill Sans MT" w:hAnsi="Gill Sans MT" w:cs="Segoe UI"/>
          <w:color w:val="7F7F7F" w:themeColor="text1" w:themeTint="80"/>
          <w:sz w:val="22"/>
          <w:szCs w:val="22"/>
        </w:rPr>
        <w:t xml:space="preserve"> role in these overall patterns.</w:t>
      </w:r>
    </w:p>
    <w:p w14:paraId="24B3D5A1" w14:textId="77777777" w:rsidR="00E8467D" w:rsidRPr="00024A60" w:rsidRDefault="00E8467D" w:rsidP="003D7606">
      <w:pPr>
        <w:pStyle w:val="Default"/>
        <w:rPr>
          <w:rFonts w:ascii="Gill Sans MT" w:hAnsi="Gill Sans MT" w:cs="Segoe UI"/>
          <w:color w:val="7F7F7F" w:themeColor="text1" w:themeTint="80"/>
          <w:sz w:val="22"/>
          <w:szCs w:val="22"/>
        </w:rPr>
      </w:pPr>
    </w:p>
    <w:p w14:paraId="22174B98" w14:textId="77777777" w:rsidR="009F3713" w:rsidRPr="00024A60" w:rsidRDefault="00024A60" w:rsidP="003D7606">
      <w:pPr>
        <w:pStyle w:val="Default"/>
        <w:rPr>
          <w:rFonts w:ascii="Gill Sans MT" w:hAnsi="Gill Sans MT" w:cs="Segoe UI"/>
          <w:color w:val="7F7F7F" w:themeColor="text1" w:themeTint="80"/>
          <w:sz w:val="22"/>
          <w:szCs w:val="22"/>
        </w:rPr>
      </w:pPr>
      <w:r>
        <w:rPr>
          <w:rFonts w:ascii="Gill Sans MT" w:hAnsi="Gill Sans MT" w:cs="Tahoma"/>
          <w:color w:val="7F7F7F" w:themeColor="text1" w:themeTint="80"/>
          <w:sz w:val="22"/>
          <w:szCs w:val="22"/>
          <w:lang w:val="en"/>
        </w:rPr>
        <w:t xml:space="preserve">4.2 </w:t>
      </w:r>
      <w:r w:rsidR="009F3713" w:rsidRPr="00024A60">
        <w:rPr>
          <w:rFonts w:ascii="Gill Sans MT" w:hAnsi="Gill Sans MT" w:cs="Tahoma"/>
          <w:color w:val="7F7F7F" w:themeColor="text1" w:themeTint="80"/>
          <w:sz w:val="22"/>
          <w:szCs w:val="22"/>
          <w:lang w:val="en"/>
        </w:rPr>
        <w:t>Work experience is now increasingly essential to securing both university places and graduate jobs, with a 2016 report suggesting employers expect to fill anywhere between a third and half of graduate vacancies with a student who has had previous work experience at their organisation</w:t>
      </w:r>
      <w:r w:rsidR="009F3713" w:rsidRPr="00024A60">
        <w:rPr>
          <w:rStyle w:val="FootnoteReference"/>
          <w:rFonts w:ascii="Gill Sans MT" w:hAnsi="Gill Sans MT" w:cs="Tahoma"/>
          <w:color w:val="7F7F7F" w:themeColor="text1" w:themeTint="80"/>
          <w:sz w:val="22"/>
          <w:szCs w:val="22"/>
          <w:lang w:val="en"/>
        </w:rPr>
        <w:footnoteReference w:id="7"/>
      </w:r>
      <w:r w:rsidR="009F3713" w:rsidRPr="00024A60">
        <w:rPr>
          <w:rFonts w:ascii="Gill Sans MT" w:hAnsi="Gill Sans MT" w:cs="Tahoma"/>
          <w:color w:val="7F7F7F" w:themeColor="text1" w:themeTint="80"/>
          <w:sz w:val="22"/>
          <w:szCs w:val="22"/>
          <w:lang w:val="en"/>
        </w:rPr>
        <w:t>.</w:t>
      </w:r>
    </w:p>
    <w:p w14:paraId="72BBD258" w14:textId="77777777" w:rsidR="00E8467D" w:rsidRPr="00024A60" w:rsidRDefault="00E8467D" w:rsidP="003D7606">
      <w:pPr>
        <w:pStyle w:val="Default"/>
        <w:rPr>
          <w:rFonts w:ascii="Gill Sans MT" w:hAnsi="Gill Sans MT" w:cs="Tahoma"/>
          <w:color w:val="7F7F7F" w:themeColor="text1" w:themeTint="80"/>
          <w:sz w:val="22"/>
          <w:szCs w:val="22"/>
          <w:lang w:val="en"/>
        </w:rPr>
      </w:pPr>
    </w:p>
    <w:p w14:paraId="2A8168CA" w14:textId="77777777" w:rsidR="009F3713" w:rsidRPr="00024A60" w:rsidRDefault="00024A60" w:rsidP="003D7606">
      <w:pPr>
        <w:pStyle w:val="Default"/>
        <w:rPr>
          <w:rFonts w:ascii="Gill Sans MT" w:hAnsi="Gill Sans MT" w:cs="Segoe UI"/>
          <w:color w:val="7F7F7F" w:themeColor="text1" w:themeTint="80"/>
          <w:sz w:val="22"/>
          <w:szCs w:val="22"/>
        </w:rPr>
      </w:pPr>
      <w:r>
        <w:rPr>
          <w:rFonts w:ascii="Gill Sans MT" w:hAnsi="Gill Sans MT" w:cs="Segoe UI"/>
          <w:color w:val="7F7F7F" w:themeColor="text1" w:themeTint="80"/>
          <w:sz w:val="22"/>
          <w:szCs w:val="22"/>
        </w:rPr>
        <w:t xml:space="preserve">4.3 </w:t>
      </w:r>
      <w:r w:rsidR="009F3713" w:rsidRPr="00024A60">
        <w:rPr>
          <w:rFonts w:ascii="Gill Sans MT" w:hAnsi="Gill Sans MT" w:cs="Segoe UI"/>
          <w:color w:val="7F7F7F" w:themeColor="text1" w:themeTint="80"/>
          <w:sz w:val="22"/>
          <w:szCs w:val="22"/>
        </w:rPr>
        <w:t>The UKCES report Catch 16 – 24</w:t>
      </w:r>
      <w:r w:rsidR="009F3713" w:rsidRPr="00024A60">
        <w:rPr>
          <w:rStyle w:val="FootnoteReference"/>
          <w:rFonts w:ascii="Gill Sans MT" w:hAnsi="Gill Sans MT" w:cs="Segoe UI"/>
          <w:color w:val="7F7F7F" w:themeColor="text1" w:themeTint="80"/>
          <w:sz w:val="22"/>
          <w:szCs w:val="22"/>
        </w:rPr>
        <w:footnoteReference w:id="8"/>
      </w:r>
      <w:r w:rsidR="009F3713" w:rsidRPr="00024A60">
        <w:rPr>
          <w:rFonts w:ascii="Gill Sans MT" w:hAnsi="Gill Sans MT" w:cs="Segoe UI"/>
          <w:color w:val="7F7F7F" w:themeColor="text1" w:themeTint="80"/>
          <w:sz w:val="22"/>
          <w:szCs w:val="22"/>
        </w:rPr>
        <w:t xml:space="preserve"> shows that s</w:t>
      </w:r>
      <w:r w:rsidR="009F3713" w:rsidRPr="00024A60">
        <w:rPr>
          <w:rStyle w:val="A7"/>
          <w:rFonts w:ascii="Gill Sans MT" w:hAnsi="Gill Sans MT"/>
          <w:color w:val="7F7F7F" w:themeColor="text1" w:themeTint="80"/>
          <w:sz w:val="22"/>
          <w:szCs w:val="22"/>
        </w:rPr>
        <w:t>ome young people remain caught in a Catch-22 situation when it comes to getting on in today’s labour market</w:t>
      </w:r>
      <w:r w:rsidR="0098718F" w:rsidRPr="00024A60">
        <w:rPr>
          <w:rStyle w:val="A7"/>
          <w:rFonts w:ascii="Gill Sans MT" w:hAnsi="Gill Sans MT"/>
          <w:color w:val="7F7F7F" w:themeColor="text1" w:themeTint="80"/>
          <w:sz w:val="22"/>
          <w:szCs w:val="22"/>
        </w:rPr>
        <w:t xml:space="preserve">; </w:t>
      </w:r>
      <w:r w:rsidR="009F3713" w:rsidRPr="00024A60">
        <w:rPr>
          <w:rStyle w:val="A7"/>
          <w:rFonts w:ascii="Gill Sans MT" w:hAnsi="Gill Sans MT"/>
          <w:color w:val="7F7F7F" w:themeColor="text1" w:themeTint="80"/>
          <w:sz w:val="22"/>
          <w:szCs w:val="22"/>
        </w:rPr>
        <w:t xml:space="preserve"> finding it difficult to get work without experience and difficult to obtain experience without work. Who you know and where you live have a big impact on the opportunities available.</w:t>
      </w:r>
    </w:p>
    <w:p w14:paraId="419DD9BC" w14:textId="77777777" w:rsidR="007E7DBA" w:rsidRPr="00024A60" w:rsidRDefault="007E7DBA" w:rsidP="00E8467D">
      <w:pPr>
        <w:pStyle w:val="Default"/>
        <w:rPr>
          <w:rFonts w:ascii="Gill Sans MT" w:hAnsi="Gill Sans MT"/>
          <w:b/>
          <w:bCs/>
          <w:sz w:val="22"/>
          <w:szCs w:val="22"/>
        </w:rPr>
      </w:pPr>
    </w:p>
    <w:p w14:paraId="5FB6DEA8" w14:textId="77777777" w:rsidR="00734749" w:rsidRPr="00024A60" w:rsidRDefault="00024A60" w:rsidP="00E8467D">
      <w:pPr>
        <w:pStyle w:val="Default"/>
        <w:rPr>
          <w:rFonts w:ascii="Gill Sans MT" w:hAnsi="Gill Sans MT"/>
          <w:sz w:val="22"/>
          <w:szCs w:val="22"/>
        </w:rPr>
      </w:pPr>
      <w:r>
        <w:rPr>
          <w:rFonts w:ascii="Gill Sans MT" w:hAnsi="Gill Sans MT"/>
          <w:b/>
          <w:sz w:val="22"/>
          <w:szCs w:val="22"/>
        </w:rPr>
        <w:t xml:space="preserve">5.0 </w:t>
      </w:r>
      <w:r w:rsidR="00734749" w:rsidRPr="00024A60">
        <w:rPr>
          <w:rFonts w:ascii="Gill Sans MT" w:hAnsi="Gill Sans MT"/>
          <w:b/>
          <w:sz w:val="22"/>
          <w:szCs w:val="22"/>
        </w:rPr>
        <w:t xml:space="preserve">What role should the Government have in ensuring young people have access to quality work experience? </w:t>
      </w:r>
    </w:p>
    <w:p w14:paraId="0588B950" w14:textId="77777777" w:rsidR="0095319F"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5.1 </w:t>
      </w:r>
      <w:r w:rsidR="0095319F" w:rsidRPr="00024A60">
        <w:rPr>
          <w:rFonts w:ascii="Gill Sans MT" w:hAnsi="Gill Sans MT"/>
          <w:color w:val="7F7F7F" w:themeColor="text1" w:themeTint="80"/>
          <w:sz w:val="22"/>
          <w:szCs w:val="22"/>
        </w:rPr>
        <w:t>As outlined in the Gatsby research for good career guidance, experience of work places / wo</w:t>
      </w:r>
      <w:r w:rsidR="003D7606" w:rsidRPr="00024A60">
        <w:rPr>
          <w:rFonts w:ascii="Gill Sans MT" w:hAnsi="Gill Sans MT"/>
          <w:color w:val="7F7F7F" w:themeColor="text1" w:themeTint="80"/>
          <w:sz w:val="22"/>
          <w:szCs w:val="22"/>
        </w:rPr>
        <w:t>rk experience should</w:t>
      </w:r>
      <w:r w:rsidR="0095319F" w:rsidRPr="00024A60">
        <w:rPr>
          <w:rFonts w:ascii="Gill Sans MT" w:hAnsi="Gill Sans MT"/>
          <w:color w:val="7F7F7F" w:themeColor="text1" w:themeTint="80"/>
          <w:sz w:val="22"/>
          <w:szCs w:val="22"/>
        </w:rPr>
        <w:t xml:space="preserve"> form part of a comprehensive strategy </w:t>
      </w:r>
      <w:r w:rsidR="003D7606" w:rsidRPr="00024A60">
        <w:rPr>
          <w:rFonts w:ascii="Gill Sans MT" w:hAnsi="Gill Sans MT"/>
          <w:color w:val="7F7F7F" w:themeColor="text1" w:themeTint="80"/>
          <w:sz w:val="22"/>
          <w:szCs w:val="22"/>
        </w:rPr>
        <w:t>for</w:t>
      </w:r>
      <w:r w:rsidR="0095319F" w:rsidRPr="00024A60">
        <w:rPr>
          <w:rFonts w:ascii="Gill Sans MT" w:hAnsi="Gill Sans MT"/>
          <w:color w:val="7F7F7F" w:themeColor="text1" w:themeTint="80"/>
          <w:sz w:val="22"/>
          <w:szCs w:val="22"/>
        </w:rPr>
        <w:t xml:space="preserve"> careers in a school which is underpinned by the 8 benchmarks. It cannot be delivered in isolation.</w:t>
      </w:r>
    </w:p>
    <w:p w14:paraId="6939E337" w14:textId="77777777" w:rsidR="00024A60" w:rsidRDefault="00024A60" w:rsidP="0095319F">
      <w:pPr>
        <w:pStyle w:val="Default"/>
        <w:spacing w:after="42"/>
        <w:rPr>
          <w:rFonts w:ascii="Gill Sans MT" w:hAnsi="Gill Sans MT"/>
          <w:color w:val="7F7F7F" w:themeColor="text1" w:themeTint="80"/>
          <w:sz w:val="22"/>
          <w:szCs w:val="22"/>
        </w:rPr>
      </w:pPr>
    </w:p>
    <w:p w14:paraId="6CCE94D0" w14:textId="77777777" w:rsidR="0095319F" w:rsidRPr="00024A60" w:rsidRDefault="00024A60" w:rsidP="0095319F">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5.2</w:t>
      </w:r>
      <w:r w:rsidR="0095319F" w:rsidRPr="00024A60">
        <w:rPr>
          <w:rFonts w:ascii="Gill Sans MT" w:hAnsi="Gill Sans MT"/>
          <w:color w:val="7F7F7F" w:themeColor="text1" w:themeTint="80"/>
          <w:sz w:val="22"/>
          <w:szCs w:val="22"/>
        </w:rPr>
        <w:t>Th</w:t>
      </w:r>
      <w:r w:rsidR="00701243" w:rsidRPr="00024A60">
        <w:rPr>
          <w:rFonts w:ascii="Gill Sans MT" w:hAnsi="Gill Sans MT"/>
          <w:color w:val="7F7F7F" w:themeColor="text1" w:themeTint="80"/>
          <w:sz w:val="22"/>
          <w:szCs w:val="22"/>
        </w:rPr>
        <w:t xml:space="preserve">e Government has put the Careers and </w:t>
      </w:r>
      <w:r w:rsidR="0095319F" w:rsidRPr="00024A60">
        <w:rPr>
          <w:rFonts w:ascii="Gill Sans MT" w:hAnsi="Gill Sans MT"/>
          <w:color w:val="7F7F7F" w:themeColor="text1" w:themeTint="80"/>
          <w:sz w:val="22"/>
          <w:szCs w:val="22"/>
        </w:rPr>
        <w:t>Enterprise Company</w:t>
      </w:r>
      <w:r w:rsidR="0095319F" w:rsidRPr="00024A60">
        <w:rPr>
          <w:rStyle w:val="FootnoteReference"/>
          <w:rFonts w:ascii="Gill Sans MT" w:hAnsi="Gill Sans MT"/>
          <w:color w:val="7F7F7F" w:themeColor="text1" w:themeTint="80"/>
          <w:sz w:val="22"/>
          <w:szCs w:val="22"/>
        </w:rPr>
        <w:footnoteReference w:id="9"/>
      </w:r>
      <w:r w:rsidR="0095319F" w:rsidRPr="00024A60">
        <w:rPr>
          <w:rFonts w:ascii="Gill Sans MT" w:hAnsi="Gill Sans MT"/>
          <w:color w:val="7F7F7F" w:themeColor="text1" w:themeTint="80"/>
          <w:sz w:val="22"/>
          <w:szCs w:val="22"/>
        </w:rPr>
        <w:t xml:space="preserve"> (CEC) at the heart</w:t>
      </w:r>
      <w:r w:rsidR="002F6397" w:rsidRPr="00024A60">
        <w:rPr>
          <w:rFonts w:ascii="Gill Sans MT" w:hAnsi="Gill Sans MT"/>
          <w:color w:val="7F7F7F" w:themeColor="text1" w:themeTint="80"/>
          <w:sz w:val="22"/>
          <w:szCs w:val="22"/>
        </w:rPr>
        <w:t xml:space="preserve"> of</w:t>
      </w:r>
      <w:r w:rsidR="0095319F" w:rsidRPr="00024A60">
        <w:rPr>
          <w:rFonts w:ascii="Gill Sans MT" w:hAnsi="Gill Sans MT"/>
          <w:color w:val="7F7F7F" w:themeColor="text1" w:themeTint="80"/>
          <w:sz w:val="22"/>
          <w:szCs w:val="22"/>
        </w:rPr>
        <w:t xml:space="preserve"> driving forward careers provision </w:t>
      </w:r>
      <w:r w:rsidR="003D7606" w:rsidRPr="00024A60">
        <w:rPr>
          <w:rFonts w:ascii="Gill Sans MT" w:hAnsi="Gill Sans MT"/>
          <w:color w:val="7F7F7F" w:themeColor="text1" w:themeTint="80"/>
          <w:sz w:val="22"/>
          <w:szCs w:val="22"/>
        </w:rPr>
        <w:t xml:space="preserve">for young people </w:t>
      </w:r>
      <w:r w:rsidR="0095319F" w:rsidRPr="00024A60">
        <w:rPr>
          <w:rFonts w:ascii="Gill Sans MT" w:hAnsi="Gill Sans MT"/>
          <w:color w:val="7F7F7F" w:themeColor="text1" w:themeTint="80"/>
          <w:sz w:val="22"/>
          <w:szCs w:val="22"/>
        </w:rPr>
        <w:t xml:space="preserve">(underpinned by the Gatsby benchmarks) </w:t>
      </w:r>
      <w:r w:rsidR="00E8467D" w:rsidRPr="00024A60">
        <w:rPr>
          <w:rFonts w:ascii="Gill Sans MT" w:hAnsi="Gill Sans MT"/>
          <w:color w:val="7F7F7F" w:themeColor="text1" w:themeTint="80"/>
          <w:sz w:val="22"/>
          <w:szCs w:val="22"/>
        </w:rPr>
        <w:t>and</w:t>
      </w:r>
      <w:r w:rsidR="0095319F" w:rsidRPr="00024A60">
        <w:rPr>
          <w:rFonts w:ascii="Gill Sans MT" w:hAnsi="Gill Sans MT"/>
          <w:color w:val="7F7F7F" w:themeColor="text1" w:themeTint="80"/>
          <w:sz w:val="22"/>
          <w:szCs w:val="22"/>
        </w:rPr>
        <w:t xml:space="preserve"> managing the allocation of a significant amount of </w:t>
      </w:r>
      <w:r w:rsidR="003D7606" w:rsidRPr="00024A60">
        <w:rPr>
          <w:rFonts w:ascii="Gill Sans MT" w:hAnsi="Gill Sans MT"/>
          <w:color w:val="7F7F7F" w:themeColor="text1" w:themeTint="80"/>
          <w:sz w:val="22"/>
          <w:szCs w:val="22"/>
        </w:rPr>
        <w:t xml:space="preserve">funding </w:t>
      </w:r>
      <w:r w:rsidR="0095319F" w:rsidRPr="00024A60">
        <w:rPr>
          <w:rFonts w:ascii="Gill Sans MT" w:hAnsi="Gill Sans MT"/>
          <w:color w:val="7F7F7F" w:themeColor="text1" w:themeTint="80"/>
          <w:sz w:val="22"/>
          <w:szCs w:val="22"/>
        </w:rPr>
        <w:t xml:space="preserve">towards this endeavour. </w:t>
      </w:r>
    </w:p>
    <w:p w14:paraId="4C2FD59D" w14:textId="77777777" w:rsidR="0095319F" w:rsidRPr="00024A60" w:rsidRDefault="0095319F" w:rsidP="0095319F">
      <w:pPr>
        <w:pStyle w:val="Default"/>
        <w:spacing w:after="42"/>
        <w:rPr>
          <w:rFonts w:ascii="Gill Sans MT" w:hAnsi="Gill Sans MT"/>
          <w:color w:val="7F7F7F" w:themeColor="text1" w:themeTint="80"/>
          <w:sz w:val="22"/>
          <w:szCs w:val="22"/>
        </w:rPr>
      </w:pPr>
    </w:p>
    <w:p w14:paraId="6222D128" w14:textId="77777777" w:rsidR="00BD7960" w:rsidRPr="00024A60" w:rsidRDefault="00024A60" w:rsidP="0095319F">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5.3 </w:t>
      </w:r>
      <w:r w:rsidR="0095319F" w:rsidRPr="00024A60">
        <w:rPr>
          <w:rFonts w:ascii="Gill Sans MT" w:hAnsi="Gill Sans MT"/>
          <w:color w:val="7F7F7F" w:themeColor="text1" w:themeTint="80"/>
          <w:sz w:val="22"/>
          <w:szCs w:val="22"/>
        </w:rPr>
        <w:t>However Education Business Partnerships</w:t>
      </w:r>
      <w:r w:rsidR="0095319F" w:rsidRPr="00024A60">
        <w:rPr>
          <w:rStyle w:val="FootnoteReference"/>
          <w:rFonts w:ascii="Gill Sans MT" w:hAnsi="Gill Sans MT"/>
          <w:color w:val="7F7F7F" w:themeColor="text1" w:themeTint="80"/>
          <w:sz w:val="22"/>
          <w:szCs w:val="22"/>
        </w:rPr>
        <w:footnoteReference w:id="10"/>
      </w:r>
      <w:r w:rsidR="0095319F" w:rsidRPr="00024A60">
        <w:rPr>
          <w:rFonts w:ascii="Gill Sans MT" w:hAnsi="Gill Sans MT"/>
          <w:color w:val="7F7F7F" w:themeColor="text1" w:themeTint="80"/>
          <w:sz w:val="22"/>
          <w:szCs w:val="22"/>
        </w:rPr>
        <w:t xml:space="preserve"> (EBP) have been in existence for many years </w:t>
      </w:r>
      <w:r w:rsidR="00E8467D" w:rsidRPr="00024A60">
        <w:rPr>
          <w:rFonts w:ascii="Gill Sans MT" w:hAnsi="Gill Sans MT"/>
          <w:color w:val="7F7F7F" w:themeColor="text1" w:themeTint="80"/>
          <w:sz w:val="22"/>
          <w:szCs w:val="22"/>
        </w:rPr>
        <w:t>and</w:t>
      </w:r>
      <w:r w:rsidR="0095319F" w:rsidRPr="00024A60">
        <w:rPr>
          <w:rFonts w:ascii="Gill Sans MT" w:hAnsi="Gill Sans MT"/>
          <w:color w:val="7F7F7F" w:themeColor="text1" w:themeTint="80"/>
          <w:sz w:val="22"/>
          <w:szCs w:val="22"/>
        </w:rPr>
        <w:t xml:space="preserve"> have been designing and delivering engaging </w:t>
      </w:r>
      <w:r w:rsidR="00E8467D" w:rsidRPr="00024A60">
        <w:rPr>
          <w:rFonts w:ascii="Gill Sans MT" w:hAnsi="Gill Sans MT"/>
          <w:color w:val="7F7F7F" w:themeColor="text1" w:themeTint="80"/>
          <w:sz w:val="22"/>
          <w:szCs w:val="22"/>
        </w:rPr>
        <w:t>and</w:t>
      </w:r>
      <w:r w:rsidR="0095319F" w:rsidRPr="00024A60">
        <w:rPr>
          <w:rFonts w:ascii="Gill Sans MT" w:hAnsi="Gill Sans MT"/>
          <w:color w:val="7F7F7F" w:themeColor="text1" w:themeTint="80"/>
          <w:sz w:val="22"/>
          <w:szCs w:val="22"/>
        </w:rPr>
        <w:t xml:space="preserve"> successful ways for employers and young people to come together including supporting the delivery of work experience. EBP’s now have to contract with schools or tender for funding st</w:t>
      </w:r>
      <w:r w:rsidR="00701243" w:rsidRPr="00024A60">
        <w:rPr>
          <w:rFonts w:ascii="Gill Sans MT" w:hAnsi="Gill Sans MT"/>
          <w:color w:val="7F7F7F" w:themeColor="text1" w:themeTint="80"/>
          <w:sz w:val="22"/>
          <w:szCs w:val="22"/>
        </w:rPr>
        <w:t>r</w:t>
      </w:r>
      <w:r w:rsidR="0095319F" w:rsidRPr="00024A60">
        <w:rPr>
          <w:rFonts w:ascii="Gill Sans MT" w:hAnsi="Gill Sans MT"/>
          <w:color w:val="7F7F7F" w:themeColor="text1" w:themeTint="80"/>
          <w:sz w:val="22"/>
          <w:szCs w:val="22"/>
        </w:rPr>
        <w:t>eams to continue thi</w:t>
      </w:r>
      <w:r w:rsidR="00BD7960" w:rsidRPr="00024A60">
        <w:rPr>
          <w:rFonts w:ascii="Gill Sans MT" w:hAnsi="Gill Sans MT"/>
          <w:color w:val="7F7F7F" w:themeColor="text1" w:themeTint="80"/>
          <w:sz w:val="22"/>
          <w:szCs w:val="22"/>
        </w:rPr>
        <w:t xml:space="preserve">s work. This includes bidding for funding to the CEC. This creates an unnecessary </w:t>
      </w:r>
      <w:r w:rsidR="00E8467D" w:rsidRPr="00024A60">
        <w:rPr>
          <w:rFonts w:ascii="Gill Sans MT" w:hAnsi="Gill Sans MT"/>
          <w:color w:val="7F7F7F" w:themeColor="text1" w:themeTint="80"/>
          <w:sz w:val="22"/>
          <w:szCs w:val="22"/>
        </w:rPr>
        <w:t>and</w:t>
      </w:r>
      <w:r w:rsidR="00BD7960" w:rsidRPr="00024A60">
        <w:rPr>
          <w:rFonts w:ascii="Gill Sans MT" w:hAnsi="Gill Sans MT"/>
          <w:color w:val="7F7F7F" w:themeColor="text1" w:themeTint="80"/>
          <w:sz w:val="22"/>
          <w:szCs w:val="22"/>
        </w:rPr>
        <w:t xml:space="preserve"> costly layer. </w:t>
      </w:r>
    </w:p>
    <w:p w14:paraId="6CBEE5A9" w14:textId="77777777" w:rsidR="00BD7960" w:rsidRPr="00024A60" w:rsidRDefault="00BD7960" w:rsidP="0095319F">
      <w:pPr>
        <w:pStyle w:val="Default"/>
        <w:spacing w:after="42"/>
        <w:rPr>
          <w:rFonts w:ascii="Gill Sans MT" w:hAnsi="Gill Sans MT"/>
          <w:color w:val="7F7F7F" w:themeColor="text1" w:themeTint="80"/>
          <w:sz w:val="22"/>
          <w:szCs w:val="22"/>
        </w:rPr>
      </w:pPr>
    </w:p>
    <w:p w14:paraId="727D8771" w14:textId="77777777" w:rsidR="0044452D" w:rsidRPr="00024A60" w:rsidRDefault="00024A60" w:rsidP="0095319F">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5.4 </w:t>
      </w:r>
      <w:r w:rsidR="00BD7960" w:rsidRPr="00024A60">
        <w:rPr>
          <w:rFonts w:ascii="Gill Sans MT" w:hAnsi="Gill Sans MT"/>
          <w:color w:val="7F7F7F" w:themeColor="text1" w:themeTint="80"/>
          <w:sz w:val="22"/>
          <w:szCs w:val="22"/>
        </w:rPr>
        <w:t xml:space="preserve">The CEC also use a standard / generic model for their programmes </w:t>
      </w:r>
      <w:r w:rsidR="00E8467D" w:rsidRPr="00024A60">
        <w:rPr>
          <w:rFonts w:ascii="Gill Sans MT" w:hAnsi="Gill Sans MT"/>
          <w:color w:val="7F7F7F" w:themeColor="text1" w:themeTint="80"/>
          <w:sz w:val="22"/>
          <w:szCs w:val="22"/>
        </w:rPr>
        <w:t>e.g.</w:t>
      </w:r>
      <w:r w:rsidR="00BD7960" w:rsidRPr="00024A60">
        <w:rPr>
          <w:rFonts w:ascii="Gill Sans MT" w:hAnsi="Gill Sans MT"/>
          <w:color w:val="7F7F7F" w:themeColor="text1" w:themeTint="80"/>
          <w:sz w:val="22"/>
          <w:szCs w:val="22"/>
        </w:rPr>
        <w:t xml:space="preserve"> the Enterprise Adviser Network</w:t>
      </w:r>
      <w:r w:rsidR="00701243" w:rsidRPr="00024A60">
        <w:rPr>
          <w:rFonts w:ascii="Gill Sans MT" w:hAnsi="Gill Sans MT"/>
          <w:color w:val="7F7F7F" w:themeColor="text1" w:themeTint="80"/>
          <w:sz w:val="22"/>
          <w:szCs w:val="22"/>
        </w:rPr>
        <w:t xml:space="preserve"> (EAN)</w:t>
      </w:r>
      <w:r w:rsidR="00BD7960" w:rsidRPr="00024A60">
        <w:rPr>
          <w:rFonts w:ascii="Gill Sans MT" w:hAnsi="Gill Sans MT"/>
          <w:color w:val="7F7F7F" w:themeColor="text1" w:themeTint="80"/>
          <w:sz w:val="22"/>
          <w:szCs w:val="22"/>
        </w:rPr>
        <w:t xml:space="preserve"> which does not necessarily meet or respond to local schools or </w:t>
      </w:r>
      <w:r w:rsidR="00E8467D" w:rsidRPr="00024A60">
        <w:rPr>
          <w:rFonts w:ascii="Gill Sans MT" w:hAnsi="Gill Sans MT"/>
          <w:color w:val="7F7F7F" w:themeColor="text1" w:themeTint="80"/>
          <w:sz w:val="22"/>
          <w:szCs w:val="22"/>
        </w:rPr>
        <w:t>employer’s</w:t>
      </w:r>
      <w:r w:rsidR="00BD7960" w:rsidRPr="00024A60">
        <w:rPr>
          <w:rFonts w:ascii="Gill Sans MT" w:hAnsi="Gill Sans MT"/>
          <w:color w:val="7F7F7F" w:themeColor="text1" w:themeTint="80"/>
          <w:sz w:val="22"/>
          <w:szCs w:val="22"/>
        </w:rPr>
        <w:t xml:space="preserve"> needs. In some instances their approach to allocating funds contributes to the problem of layering up initiatives, creating a confusing </w:t>
      </w:r>
      <w:r w:rsidR="00E8467D" w:rsidRPr="00024A60">
        <w:rPr>
          <w:rFonts w:ascii="Gill Sans MT" w:hAnsi="Gill Sans MT"/>
          <w:color w:val="7F7F7F" w:themeColor="text1" w:themeTint="80"/>
          <w:sz w:val="22"/>
          <w:szCs w:val="22"/>
        </w:rPr>
        <w:t>and</w:t>
      </w:r>
      <w:r w:rsidR="00BD7960" w:rsidRPr="00024A60">
        <w:rPr>
          <w:rFonts w:ascii="Gill Sans MT" w:hAnsi="Gill Sans MT"/>
          <w:color w:val="7F7F7F" w:themeColor="text1" w:themeTint="80"/>
          <w:sz w:val="22"/>
          <w:szCs w:val="22"/>
        </w:rPr>
        <w:t xml:space="preserve"> incoherent careers landscape, rather than improving this picture </w:t>
      </w:r>
      <w:r w:rsidR="00E8467D" w:rsidRPr="00024A60">
        <w:rPr>
          <w:rFonts w:ascii="Gill Sans MT" w:hAnsi="Gill Sans MT"/>
          <w:color w:val="7F7F7F" w:themeColor="text1" w:themeTint="80"/>
          <w:sz w:val="22"/>
          <w:szCs w:val="22"/>
        </w:rPr>
        <w:t>and</w:t>
      </w:r>
      <w:r w:rsidR="00BD7960" w:rsidRPr="00024A60">
        <w:rPr>
          <w:rFonts w:ascii="Gill Sans MT" w:hAnsi="Gill Sans MT"/>
          <w:color w:val="7F7F7F" w:themeColor="text1" w:themeTint="80"/>
          <w:sz w:val="22"/>
          <w:szCs w:val="22"/>
        </w:rPr>
        <w:t xml:space="preserve"> addressing the real needs within the system.</w:t>
      </w:r>
      <w:r w:rsidR="008150BD" w:rsidRPr="00024A60">
        <w:rPr>
          <w:rFonts w:ascii="Gill Sans MT" w:hAnsi="Gill Sans MT"/>
          <w:color w:val="7F7F7F" w:themeColor="text1" w:themeTint="80"/>
          <w:sz w:val="22"/>
          <w:szCs w:val="22"/>
        </w:rPr>
        <w:t xml:space="preserve"> </w:t>
      </w:r>
      <w:r w:rsidR="002F6397" w:rsidRPr="00024A60">
        <w:rPr>
          <w:rFonts w:ascii="Gill Sans MT" w:hAnsi="Gill Sans MT"/>
          <w:color w:val="7F7F7F" w:themeColor="text1" w:themeTint="80"/>
          <w:sz w:val="22"/>
          <w:szCs w:val="22"/>
        </w:rPr>
        <w:t xml:space="preserve">Furthermore, the EAN (the CEC’s flagship programme) currently only involves some schools. Whilst it is the government’s intention as part of the national careers strategy for all schools to be part of the network by 2020, there is a gap in support for those schools the network does not currently extend to. In Plymouth for instance, only 41% of schools are included within the network.  </w:t>
      </w:r>
      <w:r w:rsidR="001150F9" w:rsidRPr="00024A60">
        <w:rPr>
          <w:rFonts w:ascii="Gill Sans MT" w:hAnsi="Gill Sans MT"/>
          <w:color w:val="7F7F7F" w:themeColor="text1" w:themeTint="80"/>
          <w:sz w:val="22"/>
          <w:szCs w:val="22"/>
        </w:rPr>
        <w:t>Programmes such as the Inspiration agenda, providing emplo</w:t>
      </w:r>
      <w:r w:rsidR="008150BD" w:rsidRPr="00024A60">
        <w:rPr>
          <w:rFonts w:ascii="Gill Sans MT" w:hAnsi="Gill Sans MT"/>
          <w:color w:val="7F7F7F" w:themeColor="text1" w:themeTint="80"/>
          <w:sz w:val="22"/>
          <w:szCs w:val="22"/>
        </w:rPr>
        <w:t>yer / school brokerage support and</w:t>
      </w:r>
      <w:r w:rsidR="001150F9" w:rsidRPr="00024A60">
        <w:rPr>
          <w:rFonts w:ascii="Gill Sans MT" w:hAnsi="Gill Sans MT"/>
          <w:color w:val="7F7F7F" w:themeColor="text1" w:themeTint="80"/>
          <w:sz w:val="22"/>
          <w:szCs w:val="22"/>
        </w:rPr>
        <w:t xml:space="preserve"> delivered as part of the National Careers Service</w:t>
      </w:r>
      <w:r w:rsidR="008150BD" w:rsidRPr="00024A60">
        <w:rPr>
          <w:rFonts w:ascii="Gill Sans MT" w:hAnsi="Gill Sans MT"/>
          <w:color w:val="7F7F7F" w:themeColor="text1" w:themeTint="80"/>
          <w:sz w:val="22"/>
          <w:szCs w:val="22"/>
        </w:rPr>
        <w:t xml:space="preserve"> (NCS)</w:t>
      </w:r>
      <w:r w:rsidR="001150F9" w:rsidRPr="00024A60">
        <w:rPr>
          <w:rFonts w:ascii="Gill Sans MT" w:hAnsi="Gill Sans MT"/>
          <w:color w:val="7F7F7F" w:themeColor="text1" w:themeTint="80"/>
          <w:sz w:val="22"/>
          <w:szCs w:val="22"/>
        </w:rPr>
        <w:t xml:space="preserve"> contract </w:t>
      </w:r>
      <w:r w:rsidR="008150BD" w:rsidRPr="00024A60">
        <w:rPr>
          <w:rFonts w:ascii="Gill Sans MT" w:hAnsi="Gill Sans MT"/>
          <w:color w:val="7F7F7F" w:themeColor="text1" w:themeTint="80"/>
          <w:sz w:val="22"/>
          <w:szCs w:val="22"/>
        </w:rPr>
        <w:t>extends</w:t>
      </w:r>
      <w:r w:rsidR="001150F9" w:rsidRPr="00024A60">
        <w:rPr>
          <w:rFonts w:ascii="Gill Sans MT" w:hAnsi="Gill Sans MT"/>
          <w:color w:val="7F7F7F" w:themeColor="text1" w:themeTint="80"/>
          <w:sz w:val="22"/>
          <w:szCs w:val="22"/>
        </w:rPr>
        <w:t xml:space="preserve"> to all schools. This enables support for those schools the EAN does not extend to. The Inspiration agenda within NCS </w:t>
      </w:r>
      <w:r w:rsidR="008150BD" w:rsidRPr="00024A60">
        <w:rPr>
          <w:rFonts w:ascii="Gill Sans MT" w:hAnsi="Gill Sans MT"/>
          <w:color w:val="7F7F7F" w:themeColor="text1" w:themeTint="80"/>
          <w:sz w:val="22"/>
          <w:szCs w:val="22"/>
        </w:rPr>
        <w:t xml:space="preserve">prime provider </w:t>
      </w:r>
      <w:r w:rsidR="001150F9" w:rsidRPr="00024A60">
        <w:rPr>
          <w:rFonts w:ascii="Gill Sans MT" w:hAnsi="Gill Sans MT"/>
          <w:color w:val="7F7F7F" w:themeColor="text1" w:themeTint="80"/>
          <w:sz w:val="22"/>
          <w:szCs w:val="22"/>
        </w:rPr>
        <w:t xml:space="preserve">contracts will no longer be funded beyond September </w:t>
      </w:r>
      <w:r w:rsidR="0044452D" w:rsidRPr="00024A60">
        <w:rPr>
          <w:rFonts w:ascii="Gill Sans MT" w:hAnsi="Gill Sans MT"/>
          <w:color w:val="7F7F7F" w:themeColor="text1" w:themeTint="80"/>
          <w:sz w:val="22"/>
          <w:szCs w:val="22"/>
        </w:rPr>
        <w:t>2018.</w:t>
      </w:r>
    </w:p>
    <w:p w14:paraId="54C1EE6A" w14:textId="77777777" w:rsidR="0044452D" w:rsidRPr="00024A60" w:rsidRDefault="0044452D" w:rsidP="0095319F">
      <w:pPr>
        <w:pStyle w:val="Default"/>
        <w:spacing w:after="42"/>
        <w:rPr>
          <w:rFonts w:ascii="Gill Sans MT" w:hAnsi="Gill Sans MT"/>
          <w:color w:val="7F7F7F" w:themeColor="text1" w:themeTint="80"/>
          <w:sz w:val="22"/>
          <w:szCs w:val="22"/>
        </w:rPr>
      </w:pPr>
    </w:p>
    <w:p w14:paraId="2EE435CB" w14:textId="77777777" w:rsidR="002F6397" w:rsidRPr="00024A60" w:rsidRDefault="00024A60" w:rsidP="0095319F">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5.5 </w:t>
      </w:r>
      <w:r w:rsidR="002F6397" w:rsidRPr="00024A60">
        <w:rPr>
          <w:rFonts w:ascii="Gill Sans MT" w:hAnsi="Gill Sans MT"/>
          <w:color w:val="7F7F7F" w:themeColor="text1" w:themeTint="80"/>
          <w:sz w:val="22"/>
          <w:szCs w:val="22"/>
        </w:rPr>
        <w:t xml:space="preserve">The </w:t>
      </w:r>
      <w:r w:rsidR="001150F9" w:rsidRPr="00024A60">
        <w:rPr>
          <w:rFonts w:ascii="Gill Sans MT" w:hAnsi="Gill Sans MT"/>
          <w:color w:val="7F7F7F" w:themeColor="text1" w:themeTint="80"/>
          <w:sz w:val="22"/>
          <w:szCs w:val="22"/>
        </w:rPr>
        <w:t xml:space="preserve">EAN </w:t>
      </w:r>
      <w:r w:rsidR="002F6397" w:rsidRPr="00024A60">
        <w:rPr>
          <w:rFonts w:ascii="Gill Sans MT" w:hAnsi="Gill Sans MT"/>
          <w:color w:val="7F7F7F" w:themeColor="text1" w:themeTint="80"/>
          <w:sz w:val="22"/>
          <w:szCs w:val="22"/>
        </w:rPr>
        <w:t>also relies on local areas to match fund the CEC investment for this programme by 50 per cent</w:t>
      </w:r>
      <w:r w:rsidR="0044452D" w:rsidRPr="00024A60">
        <w:rPr>
          <w:rFonts w:ascii="Gill Sans MT" w:hAnsi="Gill Sans MT"/>
          <w:color w:val="7F7F7F" w:themeColor="text1" w:themeTint="80"/>
          <w:sz w:val="22"/>
          <w:szCs w:val="22"/>
        </w:rPr>
        <w:t xml:space="preserve"> for an Enterprise Coordinator post. </w:t>
      </w:r>
      <w:r w:rsidR="001150F9" w:rsidRPr="00024A60">
        <w:rPr>
          <w:rFonts w:ascii="Gill Sans MT" w:hAnsi="Gill Sans MT"/>
          <w:color w:val="7F7F7F" w:themeColor="text1" w:themeTint="80"/>
          <w:sz w:val="22"/>
          <w:szCs w:val="22"/>
        </w:rPr>
        <w:t xml:space="preserve">This </w:t>
      </w:r>
      <w:r w:rsidR="0044452D" w:rsidRPr="00024A60">
        <w:rPr>
          <w:rFonts w:ascii="Gill Sans MT" w:hAnsi="Gill Sans MT"/>
          <w:color w:val="7F7F7F" w:themeColor="text1" w:themeTint="80"/>
          <w:sz w:val="22"/>
          <w:szCs w:val="22"/>
        </w:rPr>
        <w:t xml:space="preserve">has a bearing on </w:t>
      </w:r>
      <w:r w:rsidR="001150F9" w:rsidRPr="00024A60">
        <w:rPr>
          <w:rFonts w:ascii="Gill Sans MT" w:hAnsi="Gill Sans MT"/>
          <w:color w:val="7F7F7F" w:themeColor="text1" w:themeTint="80"/>
          <w:sz w:val="22"/>
          <w:szCs w:val="22"/>
        </w:rPr>
        <w:t xml:space="preserve">school </w:t>
      </w:r>
      <w:r w:rsidR="0044452D" w:rsidRPr="00024A60">
        <w:rPr>
          <w:rFonts w:ascii="Gill Sans MT" w:hAnsi="Gill Sans MT"/>
          <w:color w:val="7F7F7F" w:themeColor="text1" w:themeTint="80"/>
          <w:sz w:val="22"/>
          <w:szCs w:val="22"/>
        </w:rPr>
        <w:t xml:space="preserve">/ college </w:t>
      </w:r>
      <w:r w:rsidR="001150F9" w:rsidRPr="00024A60">
        <w:rPr>
          <w:rFonts w:ascii="Gill Sans MT" w:hAnsi="Gill Sans MT"/>
          <w:color w:val="7F7F7F" w:themeColor="text1" w:themeTint="80"/>
          <w:sz w:val="22"/>
          <w:szCs w:val="22"/>
        </w:rPr>
        <w:t xml:space="preserve">coverage as establishing </w:t>
      </w:r>
      <w:r w:rsidR="002F6397" w:rsidRPr="00024A60">
        <w:rPr>
          <w:rFonts w:ascii="Gill Sans MT" w:hAnsi="Gill Sans MT"/>
          <w:color w:val="7F7F7F" w:themeColor="text1" w:themeTint="80"/>
          <w:sz w:val="22"/>
          <w:szCs w:val="22"/>
        </w:rPr>
        <w:t xml:space="preserve">local match </w:t>
      </w:r>
      <w:r w:rsidR="001150F9" w:rsidRPr="00024A60">
        <w:rPr>
          <w:rFonts w:ascii="Gill Sans MT" w:hAnsi="Gill Sans MT"/>
          <w:color w:val="7F7F7F" w:themeColor="text1" w:themeTint="80"/>
          <w:sz w:val="22"/>
          <w:szCs w:val="22"/>
        </w:rPr>
        <w:t xml:space="preserve">as per requirements of the CEC model </w:t>
      </w:r>
      <w:r w:rsidR="0044452D" w:rsidRPr="00024A60">
        <w:rPr>
          <w:rFonts w:ascii="Gill Sans MT" w:hAnsi="Gill Sans MT"/>
          <w:color w:val="7F7F7F" w:themeColor="text1" w:themeTint="80"/>
          <w:sz w:val="22"/>
          <w:szCs w:val="22"/>
        </w:rPr>
        <w:t xml:space="preserve">can </w:t>
      </w:r>
      <w:r w:rsidR="001150F9" w:rsidRPr="00024A60">
        <w:rPr>
          <w:rFonts w:ascii="Gill Sans MT" w:hAnsi="Gill Sans MT"/>
          <w:color w:val="7F7F7F" w:themeColor="text1" w:themeTint="80"/>
          <w:sz w:val="22"/>
          <w:szCs w:val="22"/>
        </w:rPr>
        <w:t>prove challenging</w:t>
      </w:r>
      <w:r w:rsidR="0044452D" w:rsidRPr="00024A60">
        <w:rPr>
          <w:rFonts w:ascii="Gill Sans MT" w:hAnsi="Gill Sans MT"/>
          <w:color w:val="7F7F7F" w:themeColor="text1" w:themeTint="80"/>
          <w:sz w:val="22"/>
          <w:szCs w:val="22"/>
        </w:rPr>
        <w:t xml:space="preserve"> in the current climate</w:t>
      </w:r>
      <w:r w:rsidR="001150F9" w:rsidRPr="00024A60">
        <w:rPr>
          <w:rFonts w:ascii="Gill Sans MT" w:hAnsi="Gill Sans MT"/>
          <w:color w:val="7F7F7F" w:themeColor="text1" w:themeTint="80"/>
          <w:sz w:val="22"/>
          <w:szCs w:val="22"/>
        </w:rPr>
        <w:t xml:space="preserve">. Should there be greater flexibility of the model with funding aligned to outcomes rather than outputs </w:t>
      </w:r>
      <w:r w:rsidR="008150BD" w:rsidRPr="00024A60">
        <w:rPr>
          <w:rFonts w:ascii="Gill Sans MT" w:hAnsi="Gill Sans MT"/>
          <w:color w:val="7F7F7F" w:themeColor="text1" w:themeTint="80"/>
          <w:sz w:val="22"/>
          <w:szCs w:val="22"/>
        </w:rPr>
        <w:t>and a move away from a</w:t>
      </w:r>
      <w:r w:rsidR="001150F9" w:rsidRPr="00024A60">
        <w:rPr>
          <w:rFonts w:ascii="Gill Sans MT" w:hAnsi="Gill Sans MT"/>
          <w:color w:val="7F7F7F" w:themeColor="text1" w:themeTint="80"/>
          <w:sz w:val="22"/>
          <w:szCs w:val="22"/>
        </w:rPr>
        <w:t xml:space="preserve"> one size fits all approach, local investment may be easier to secure. </w:t>
      </w:r>
    </w:p>
    <w:p w14:paraId="03F08C0F" w14:textId="77777777" w:rsidR="003D7606" w:rsidRPr="00024A60" w:rsidRDefault="003D7606" w:rsidP="0095319F">
      <w:pPr>
        <w:pStyle w:val="Default"/>
        <w:spacing w:after="42"/>
        <w:rPr>
          <w:rFonts w:ascii="Gill Sans MT" w:hAnsi="Gill Sans MT"/>
          <w:color w:val="7F7F7F" w:themeColor="text1" w:themeTint="80"/>
          <w:sz w:val="22"/>
          <w:szCs w:val="22"/>
        </w:rPr>
      </w:pPr>
    </w:p>
    <w:p w14:paraId="3E39D0B9" w14:textId="77777777" w:rsidR="00BD7960" w:rsidRPr="00024A60" w:rsidRDefault="00024A60" w:rsidP="0095319F">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lastRenderedPageBreak/>
        <w:t xml:space="preserve">5.6 </w:t>
      </w:r>
      <w:r w:rsidR="008150BD" w:rsidRPr="00024A60">
        <w:rPr>
          <w:rFonts w:ascii="Gill Sans MT" w:hAnsi="Gill Sans MT"/>
          <w:color w:val="7F7F7F" w:themeColor="text1" w:themeTint="80"/>
          <w:sz w:val="22"/>
          <w:szCs w:val="22"/>
        </w:rPr>
        <w:t xml:space="preserve">As such, </w:t>
      </w:r>
      <w:r w:rsidR="0044452D" w:rsidRPr="00024A60">
        <w:rPr>
          <w:rFonts w:ascii="Gill Sans MT" w:hAnsi="Gill Sans MT"/>
          <w:color w:val="7F7F7F" w:themeColor="text1" w:themeTint="80"/>
          <w:sz w:val="22"/>
          <w:szCs w:val="22"/>
        </w:rPr>
        <w:t xml:space="preserve">government </w:t>
      </w:r>
      <w:r w:rsidR="008150BD" w:rsidRPr="00024A60">
        <w:rPr>
          <w:rFonts w:ascii="Gill Sans MT" w:hAnsi="Gill Sans MT"/>
          <w:color w:val="7F7F7F" w:themeColor="text1" w:themeTint="80"/>
          <w:sz w:val="22"/>
          <w:szCs w:val="22"/>
        </w:rPr>
        <w:t>f</w:t>
      </w:r>
      <w:r w:rsidR="00701243" w:rsidRPr="00024A60">
        <w:rPr>
          <w:rFonts w:ascii="Gill Sans MT" w:hAnsi="Gill Sans MT"/>
          <w:color w:val="7F7F7F" w:themeColor="text1" w:themeTint="80"/>
          <w:sz w:val="22"/>
          <w:szCs w:val="22"/>
        </w:rPr>
        <w:t>unding</w:t>
      </w:r>
      <w:r w:rsidR="0044452D" w:rsidRPr="00024A60">
        <w:rPr>
          <w:rFonts w:ascii="Gill Sans MT" w:hAnsi="Gill Sans MT"/>
          <w:color w:val="7F7F7F" w:themeColor="text1" w:themeTint="80"/>
          <w:sz w:val="22"/>
          <w:szCs w:val="22"/>
        </w:rPr>
        <w:t xml:space="preserve"> for careers provision</w:t>
      </w:r>
      <w:r w:rsidR="00701243" w:rsidRPr="00024A60">
        <w:rPr>
          <w:rFonts w:ascii="Gill Sans MT" w:hAnsi="Gill Sans MT"/>
          <w:color w:val="7F7F7F" w:themeColor="text1" w:themeTint="80"/>
          <w:sz w:val="22"/>
          <w:szCs w:val="22"/>
        </w:rPr>
        <w:t xml:space="preserve"> </w:t>
      </w:r>
      <w:r w:rsidR="00BD7960" w:rsidRPr="00024A60">
        <w:rPr>
          <w:rFonts w:ascii="Gill Sans MT" w:hAnsi="Gill Sans MT"/>
          <w:color w:val="7F7F7F" w:themeColor="text1" w:themeTint="80"/>
          <w:sz w:val="22"/>
          <w:szCs w:val="22"/>
        </w:rPr>
        <w:t>would be better devolved to Local Enterprise Partnerships</w:t>
      </w:r>
      <w:r w:rsidR="00701243" w:rsidRPr="00024A60">
        <w:rPr>
          <w:rFonts w:ascii="Gill Sans MT" w:hAnsi="Gill Sans MT"/>
          <w:color w:val="7F7F7F" w:themeColor="text1" w:themeTint="80"/>
          <w:sz w:val="22"/>
          <w:szCs w:val="22"/>
        </w:rPr>
        <w:t xml:space="preserve"> (LEPs) </w:t>
      </w:r>
      <w:r w:rsidR="00BD7960" w:rsidRPr="00024A60">
        <w:rPr>
          <w:rFonts w:ascii="Gill Sans MT" w:hAnsi="Gill Sans MT"/>
          <w:color w:val="7F7F7F" w:themeColor="text1" w:themeTint="80"/>
          <w:sz w:val="22"/>
          <w:szCs w:val="22"/>
        </w:rPr>
        <w:t>, Local Authorities</w:t>
      </w:r>
      <w:r w:rsidR="00701243" w:rsidRPr="00024A60">
        <w:rPr>
          <w:rFonts w:ascii="Gill Sans MT" w:hAnsi="Gill Sans MT"/>
          <w:color w:val="7F7F7F" w:themeColor="text1" w:themeTint="80"/>
          <w:sz w:val="22"/>
          <w:szCs w:val="22"/>
        </w:rPr>
        <w:t xml:space="preserve"> (LAs)</w:t>
      </w:r>
      <w:r w:rsidR="00BD7960" w:rsidRPr="00024A60">
        <w:rPr>
          <w:rFonts w:ascii="Gill Sans MT" w:hAnsi="Gill Sans MT"/>
          <w:color w:val="7F7F7F" w:themeColor="text1" w:themeTint="80"/>
          <w:sz w:val="22"/>
          <w:szCs w:val="22"/>
        </w:rPr>
        <w:t xml:space="preserve"> or schools </w:t>
      </w:r>
      <w:r w:rsidR="00C573DE" w:rsidRPr="00024A60">
        <w:rPr>
          <w:rFonts w:ascii="Gill Sans MT" w:hAnsi="Gill Sans MT"/>
          <w:color w:val="7F7F7F" w:themeColor="text1" w:themeTint="80"/>
          <w:sz w:val="22"/>
          <w:szCs w:val="22"/>
        </w:rPr>
        <w:t xml:space="preserve">/ colleges </w:t>
      </w:r>
      <w:r w:rsidR="00BD7960" w:rsidRPr="00024A60">
        <w:rPr>
          <w:rFonts w:ascii="Gill Sans MT" w:hAnsi="Gill Sans MT"/>
          <w:color w:val="7F7F7F" w:themeColor="text1" w:themeTint="80"/>
          <w:sz w:val="22"/>
          <w:szCs w:val="22"/>
        </w:rPr>
        <w:t>themselves (ring fenced for the purpose of careers provision) to a</w:t>
      </w:r>
      <w:r w:rsidR="008531EB" w:rsidRPr="00024A60">
        <w:rPr>
          <w:rFonts w:ascii="Gill Sans MT" w:hAnsi="Gill Sans MT"/>
          <w:color w:val="7F7F7F" w:themeColor="text1" w:themeTint="80"/>
          <w:sz w:val="22"/>
          <w:szCs w:val="22"/>
        </w:rPr>
        <w:t xml:space="preserve">ddress local need / challenges. </w:t>
      </w:r>
      <w:r w:rsidR="00BD7960" w:rsidRPr="00024A60">
        <w:rPr>
          <w:rFonts w:ascii="Gill Sans MT" w:hAnsi="Gill Sans MT"/>
          <w:color w:val="7F7F7F" w:themeColor="text1" w:themeTint="80"/>
          <w:sz w:val="22"/>
          <w:szCs w:val="22"/>
        </w:rPr>
        <w:t xml:space="preserve">Plymouth as an </w:t>
      </w:r>
      <w:r w:rsidR="00E8467D" w:rsidRPr="00024A60">
        <w:rPr>
          <w:rFonts w:ascii="Gill Sans MT" w:hAnsi="Gill Sans MT"/>
          <w:color w:val="7F7F7F" w:themeColor="text1" w:themeTint="80"/>
          <w:sz w:val="22"/>
          <w:szCs w:val="22"/>
        </w:rPr>
        <w:t>example</w:t>
      </w:r>
      <w:r w:rsidR="00BD7960" w:rsidRPr="00024A60">
        <w:rPr>
          <w:rFonts w:ascii="Gill Sans MT" w:hAnsi="Gill Sans MT"/>
          <w:color w:val="7F7F7F" w:themeColor="text1" w:themeTint="80"/>
          <w:sz w:val="22"/>
          <w:szCs w:val="22"/>
        </w:rPr>
        <w:t xml:space="preserve"> is fortunate to have a strong network of C</w:t>
      </w:r>
      <w:r w:rsidR="00701243" w:rsidRPr="00024A60">
        <w:rPr>
          <w:rFonts w:ascii="Gill Sans MT" w:hAnsi="Gill Sans MT"/>
          <w:color w:val="7F7F7F" w:themeColor="text1" w:themeTint="80"/>
          <w:sz w:val="22"/>
          <w:szCs w:val="22"/>
        </w:rPr>
        <w:t xml:space="preserve">areers </w:t>
      </w:r>
      <w:r w:rsidR="00E8467D" w:rsidRPr="00024A60">
        <w:rPr>
          <w:rFonts w:ascii="Gill Sans MT" w:hAnsi="Gill Sans MT"/>
          <w:color w:val="7F7F7F" w:themeColor="text1" w:themeTint="80"/>
          <w:sz w:val="22"/>
          <w:szCs w:val="22"/>
        </w:rPr>
        <w:t>Coordinators</w:t>
      </w:r>
      <w:r w:rsidR="00701243" w:rsidRPr="00024A60">
        <w:rPr>
          <w:rFonts w:ascii="Gill Sans MT" w:hAnsi="Gill Sans MT"/>
          <w:color w:val="7F7F7F" w:themeColor="text1" w:themeTint="80"/>
          <w:sz w:val="22"/>
          <w:szCs w:val="22"/>
        </w:rPr>
        <w:t xml:space="preserve"> across the c</w:t>
      </w:r>
      <w:r w:rsidR="00BD7960" w:rsidRPr="00024A60">
        <w:rPr>
          <w:rFonts w:ascii="Gill Sans MT" w:hAnsi="Gill Sans MT"/>
          <w:color w:val="7F7F7F" w:themeColor="text1" w:themeTint="80"/>
          <w:sz w:val="22"/>
          <w:szCs w:val="22"/>
        </w:rPr>
        <w:t>ity with a history of supporting one another. The CEC approach to funding however</w:t>
      </w:r>
      <w:r w:rsidR="0017233E" w:rsidRPr="00024A60">
        <w:rPr>
          <w:rFonts w:ascii="Gill Sans MT" w:hAnsi="Gill Sans MT"/>
          <w:color w:val="7F7F7F" w:themeColor="text1" w:themeTint="80"/>
          <w:sz w:val="22"/>
          <w:szCs w:val="22"/>
        </w:rPr>
        <w:t xml:space="preserve">, </w:t>
      </w:r>
      <w:r w:rsidR="00BD7960" w:rsidRPr="00024A60">
        <w:rPr>
          <w:rFonts w:ascii="Gill Sans MT" w:hAnsi="Gill Sans MT"/>
          <w:color w:val="7F7F7F" w:themeColor="text1" w:themeTint="80"/>
          <w:sz w:val="22"/>
          <w:szCs w:val="22"/>
        </w:rPr>
        <w:t xml:space="preserve">which leads to some schools </w:t>
      </w:r>
      <w:r w:rsidR="00E8467D" w:rsidRPr="00024A60">
        <w:rPr>
          <w:rFonts w:ascii="Gill Sans MT" w:hAnsi="Gill Sans MT"/>
          <w:color w:val="7F7F7F" w:themeColor="text1" w:themeTint="80"/>
          <w:sz w:val="22"/>
          <w:szCs w:val="22"/>
        </w:rPr>
        <w:t>benefitting and</w:t>
      </w:r>
      <w:r w:rsidR="00BD7960" w:rsidRPr="00024A60">
        <w:rPr>
          <w:rFonts w:ascii="Gill Sans MT" w:hAnsi="Gill Sans MT"/>
          <w:color w:val="7F7F7F" w:themeColor="text1" w:themeTint="80"/>
          <w:sz w:val="22"/>
          <w:szCs w:val="22"/>
        </w:rPr>
        <w:t xml:space="preserve"> some that do </w:t>
      </w:r>
      <w:r w:rsidR="00E8467D" w:rsidRPr="00024A60">
        <w:rPr>
          <w:rFonts w:ascii="Gill Sans MT" w:hAnsi="Gill Sans MT"/>
          <w:color w:val="7F7F7F" w:themeColor="text1" w:themeTint="80"/>
          <w:sz w:val="22"/>
          <w:szCs w:val="22"/>
        </w:rPr>
        <w:t>not is</w:t>
      </w:r>
      <w:r w:rsidR="00BD7960" w:rsidRPr="00024A60">
        <w:rPr>
          <w:rFonts w:ascii="Gill Sans MT" w:hAnsi="Gill Sans MT"/>
          <w:color w:val="7F7F7F" w:themeColor="text1" w:themeTint="80"/>
          <w:sz w:val="22"/>
          <w:szCs w:val="22"/>
        </w:rPr>
        <w:t xml:space="preserve"> </w:t>
      </w:r>
      <w:r w:rsidR="00701243" w:rsidRPr="00024A60">
        <w:rPr>
          <w:rFonts w:ascii="Gill Sans MT" w:hAnsi="Gill Sans MT"/>
          <w:color w:val="7F7F7F" w:themeColor="text1" w:themeTint="80"/>
          <w:sz w:val="22"/>
          <w:szCs w:val="22"/>
        </w:rPr>
        <w:t xml:space="preserve">potentially </w:t>
      </w:r>
      <w:r w:rsidR="00E8467D" w:rsidRPr="00024A60">
        <w:rPr>
          <w:rFonts w:ascii="Gill Sans MT" w:hAnsi="Gill Sans MT"/>
          <w:color w:val="7F7F7F" w:themeColor="text1" w:themeTint="80"/>
          <w:sz w:val="22"/>
          <w:szCs w:val="22"/>
        </w:rPr>
        <w:t>divisive</w:t>
      </w:r>
      <w:r w:rsidR="00701243" w:rsidRPr="00024A60">
        <w:rPr>
          <w:rFonts w:ascii="Gill Sans MT" w:hAnsi="Gill Sans MT"/>
          <w:color w:val="7F7F7F" w:themeColor="text1" w:themeTint="80"/>
          <w:sz w:val="22"/>
          <w:szCs w:val="22"/>
        </w:rPr>
        <w:t xml:space="preserve"> to this partnership.</w:t>
      </w:r>
      <w:r w:rsidR="00BD7960" w:rsidRPr="00024A60">
        <w:rPr>
          <w:rFonts w:ascii="Gill Sans MT" w:hAnsi="Gill Sans MT"/>
          <w:color w:val="7F7F7F" w:themeColor="text1" w:themeTint="80"/>
          <w:sz w:val="22"/>
          <w:szCs w:val="22"/>
        </w:rPr>
        <w:t xml:space="preserve"> Government should review the impact</w:t>
      </w:r>
      <w:r w:rsidR="00701243" w:rsidRPr="00024A60">
        <w:rPr>
          <w:rFonts w:ascii="Gill Sans MT" w:hAnsi="Gill Sans MT"/>
          <w:color w:val="7F7F7F" w:themeColor="text1" w:themeTint="80"/>
          <w:sz w:val="22"/>
          <w:szCs w:val="22"/>
        </w:rPr>
        <w:t xml:space="preserve"> and cost </w:t>
      </w:r>
      <w:r w:rsidR="00E8467D" w:rsidRPr="00024A60">
        <w:rPr>
          <w:rFonts w:ascii="Gill Sans MT" w:hAnsi="Gill Sans MT"/>
          <w:color w:val="7F7F7F" w:themeColor="text1" w:themeTint="80"/>
          <w:sz w:val="22"/>
          <w:szCs w:val="22"/>
        </w:rPr>
        <w:t>effectiveness</w:t>
      </w:r>
      <w:r w:rsidR="00BD7960" w:rsidRPr="00024A60">
        <w:rPr>
          <w:rFonts w:ascii="Gill Sans MT" w:hAnsi="Gill Sans MT"/>
          <w:color w:val="7F7F7F" w:themeColor="text1" w:themeTint="80"/>
          <w:sz w:val="22"/>
          <w:szCs w:val="22"/>
        </w:rPr>
        <w:t xml:space="preserve"> of the CEC </w:t>
      </w:r>
      <w:r w:rsidR="00E8467D" w:rsidRPr="00024A60">
        <w:rPr>
          <w:rFonts w:ascii="Gill Sans MT" w:hAnsi="Gill Sans MT"/>
          <w:color w:val="7F7F7F" w:themeColor="text1" w:themeTint="80"/>
          <w:sz w:val="22"/>
          <w:szCs w:val="22"/>
        </w:rPr>
        <w:t>and</w:t>
      </w:r>
      <w:r w:rsidR="00BD7960" w:rsidRPr="00024A60">
        <w:rPr>
          <w:rFonts w:ascii="Gill Sans MT" w:hAnsi="Gill Sans MT"/>
          <w:color w:val="7F7F7F" w:themeColor="text1" w:themeTint="80"/>
          <w:sz w:val="22"/>
          <w:szCs w:val="22"/>
        </w:rPr>
        <w:t xml:space="preserve"> its programm</w:t>
      </w:r>
      <w:r w:rsidR="008150BD" w:rsidRPr="00024A60">
        <w:rPr>
          <w:rFonts w:ascii="Gill Sans MT" w:hAnsi="Gill Sans MT"/>
          <w:color w:val="7F7F7F" w:themeColor="text1" w:themeTint="80"/>
          <w:sz w:val="22"/>
          <w:szCs w:val="22"/>
        </w:rPr>
        <w:t xml:space="preserve">es with feedback from employers, </w:t>
      </w:r>
      <w:r w:rsidR="00BD7960" w:rsidRPr="00024A60">
        <w:rPr>
          <w:rFonts w:ascii="Gill Sans MT" w:hAnsi="Gill Sans MT"/>
          <w:color w:val="7F7F7F" w:themeColor="text1" w:themeTint="80"/>
          <w:sz w:val="22"/>
          <w:szCs w:val="22"/>
        </w:rPr>
        <w:t>schools</w:t>
      </w:r>
      <w:r w:rsidR="008150BD" w:rsidRPr="00024A60">
        <w:rPr>
          <w:rFonts w:ascii="Gill Sans MT" w:hAnsi="Gill Sans MT"/>
          <w:color w:val="7F7F7F" w:themeColor="text1" w:themeTint="80"/>
          <w:sz w:val="22"/>
          <w:szCs w:val="22"/>
        </w:rPr>
        <w:t>, colleges and alternative provision</w:t>
      </w:r>
      <w:r w:rsidR="00BD7960" w:rsidRPr="00024A60">
        <w:rPr>
          <w:rFonts w:ascii="Gill Sans MT" w:hAnsi="Gill Sans MT"/>
          <w:color w:val="7F7F7F" w:themeColor="text1" w:themeTint="80"/>
          <w:sz w:val="22"/>
          <w:szCs w:val="22"/>
        </w:rPr>
        <w:t xml:space="preserve"> across the country as part of this consultation</w:t>
      </w:r>
      <w:r w:rsidR="0017233E" w:rsidRPr="00024A60">
        <w:rPr>
          <w:rFonts w:ascii="Gill Sans MT" w:hAnsi="Gill Sans MT"/>
          <w:color w:val="7F7F7F" w:themeColor="text1" w:themeTint="80"/>
          <w:sz w:val="22"/>
          <w:szCs w:val="22"/>
        </w:rPr>
        <w:t>.</w:t>
      </w:r>
      <w:r w:rsidR="008531EB" w:rsidRPr="00024A60">
        <w:rPr>
          <w:rFonts w:ascii="Gill Sans MT" w:hAnsi="Gill Sans MT"/>
          <w:color w:val="7F7F7F" w:themeColor="text1" w:themeTint="80"/>
          <w:sz w:val="22"/>
          <w:szCs w:val="22"/>
        </w:rPr>
        <w:t xml:space="preserve"> </w:t>
      </w:r>
      <w:r w:rsidR="008150BD" w:rsidRPr="00024A60">
        <w:rPr>
          <w:rFonts w:ascii="Gill Sans MT" w:hAnsi="Gill Sans MT"/>
          <w:color w:val="7F7F7F" w:themeColor="text1" w:themeTint="80"/>
          <w:sz w:val="22"/>
          <w:szCs w:val="22"/>
        </w:rPr>
        <w:t>A</w:t>
      </w:r>
      <w:r w:rsidR="008531EB" w:rsidRPr="00024A60">
        <w:rPr>
          <w:rFonts w:ascii="Gill Sans MT" w:hAnsi="Gill Sans MT"/>
          <w:color w:val="7F7F7F" w:themeColor="text1" w:themeTint="80"/>
          <w:sz w:val="22"/>
          <w:szCs w:val="22"/>
        </w:rPr>
        <w:t xml:space="preserve">ny devolved funding to institutions for this purpose should protect impartiality </w:t>
      </w:r>
      <w:r w:rsidR="001E55C4" w:rsidRPr="00024A60">
        <w:rPr>
          <w:rFonts w:ascii="Gill Sans MT" w:hAnsi="Gill Sans MT"/>
          <w:color w:val="7F7F7F" w:themeColor="text1" w:themeTint="80"/>
          <w:sz w:val="22"/>
          <w:szCs w:val="22"/>
        </w:rPr>
        <w:t>with robust challenge through bodies such as</w:t>
      </w:r>
      <w:r w:rsidR="008531EB" w:rsidRPr="00024A60">
        <w:rPr>
          <w:rFonts w:ascii="Gill Sans MT" w:hAnsi="Gill Sans MT"/>
          <w:color w:val="7F7F7F" w:themeColor="text1" w:themeTint="80"/>
          <w:sz w:val="22"/>
          <w:szCs w:val="22"/>
        </w:rPr>
        <w:t xml:space="preserve"> the Regional Schools Commissioner</w:t>
      </w:r>
      <w:r w:rsidR="008150BD" w:rsidRPr="00024A60">
        <w:rPr>
          <w:rFonts w:ascii="Gill Sans MT" w:hAnsi="Gill Sans MT"/>
          <w:color w:val="7F7F7F" w:themeColor="text1" w:themeTint="80"/>
          <w:sz w:val="22"/>
          <w:szCs w:val="22"/>
        </w:rPr>
        <w:t xml:space="preserve"> and</w:t>
      </w:r>
      <w:r w:rsidR="008531EB" w:rsidRPr="00024A60">
        <w:rPr>
          <w:rFonts w:ascii="Gill Sans MT" w:hAnsi="Gill Sans MT"/>
          <w:color w:val="7F7F7F" w:themeColor="text1" w:themeTint="80"/>
          <w:sz w:val="22"/>
          <w:szCs w:val="22"/>
        </w:rPr>
        <w:t xml:space="preserve"> </w:t>
      </w:r>
      <w:r w:rsidR="001E55C4" w:rsidRPr="00024A60">
        <w:rPr>
          <w:rFonts w:ascii="Gill Sans MT" w:hAnsi="Gill Sans MT"/>
          <w:color w:val="7F7F7F" w:themeColor="text1" w:themeTint="80"/>
          <w:sz w:val="22"/>
          <w:szCs w:val="22"/>
        </w:rPr>
        <w:t>Ofsted inspection for schools &amp; colleges.</w:t>
      </w:r>
    </w:p>
    <w:p w14:paraId="4B0928AA" w14:textId="77777777" w:rsidR="00BD7960" w:rsidRPr="00024A60" w:rsidRDefault="00BD7960" w:rsidP="0095319F">
      <w:pPr>
        <w:pStyle w:val="Default"/>
        <w:spacing w:after="42"/>
        <w:rPr>
          <w:rFonts w:ascii="Gill Sans MT" w:hAnsi="Gill Sans MT"/>
          <w:color w:val="7F7F7F" w:themeColor="text1" w:themeTint="80"/>
          <w:sz w:val="22"/>
          <w:szCs w:val="22"/>
        </w:rPr>
      </w:pPr>
    </w:p>
    <w:p w14:paraId="3969EB55" w14:textId="77777777" w:rsidR="00C61A39" w:rsidRPr="00024A60" w:rsidRDefault="00024A60" w:rsidP="0095319F">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5.7 </w:t>
      </w:r>
      <w:r w:rsidR="00BD7960" w:rsidRPr="00024A60">
        <w:rPr>
          <w:rFonts w:ascii="Gill Sans MT" w:hAnsi="Gill Sans MT"/>
          <w:color w:val="7F7F7F" w:themeColor="text1" w:themeTint="80"/>
          <w:sz w:val="22"/>
          <w:szCs w:val="22"/>
        </w:rPr>
        <w:t>Government should also consider wider programmes they fund which require employer engagement</w:t>
      </w:r>
      <w:r w:rsidR="00C61A39" w:rsidRPr="00024A60">
        <w:rPr>
          <w:rFonts w:ascii="Gill Sans MT" w:hAnsi="Gill Sans MT"/>
          <w:color w:val="7F7F7F" w:themeColor="text1" w:themeTint="80"/>
          <w:sz w:val="22"/>
          <w:szCs w:val="22"/>
        </w:rPr>
        <w:t xml:space="preserve"> e.g. STEM Learning / STEM </w:t>
      </w:r>
      <w:r w:rsidR="00E8467D" w:rsidRPr="00024A60">
        <w:rPr>
          <w:rFonts w:ascii="Gill Sans MT" w:hAnsi="Gill Sans MT"/>
          <w:color w:val="7F7F7F" w:themeColor="text1" w:themeTint="80"/>
          <w:sz w:val="22"/>
          <w:szCs w:val="22"/>
        </w:rPr>
        <w:t>Ambassadors,</w:t>
      </w:r>
      <w:r w:rsidR="00C61A39" w:rsidRPr="00024A60">
        <w:rPr>
          <w:rFonts w:ascii="Gill Sans MT" w:hAnsi="Gill Sans MT"/>
          <w:color w:val="7F7F7F" w:themeColor="text1" w:themeTint="80"/>
          <w:sz w:val="22"/>
          <w:szCs w:val="22"/>
        </w:rPr>
        <w:t xml:space="preserve"> Tomorrows Engineers, Networks for Collaborative </w:t>
      </w:r>
      <w:r w:rsidR="00E8467D" w:rsidRPr="00024A60">
        <w:rPr>
          <w:rFonts w:ascii="Gill Sans MT" w:hAnsi="Gill Sans MT"/>
          <w:color w:val="7F7F7F" w:themeColor="text1" w:themeTint="80"/>
          <w:sz w:val="22"/>
          <w:szCs w:val="22"/>
        </w:rPr>
        <w:t>Outreach</w:t>
      </w:r>
      <w:r w:rsidR="00C61A39" w:rsidRPr="00024A60">
        <w:rPr>
          <w:rFonts w:ascii="Gill Sans MT" w:hAnsi="Gill Sans MT"/>
          <w:color w:val="7F7F7F" w:themeColor="text1" w:themeTint="80"/>
          <w:sz w:val="22"/>
          <w:szCs w:val="22"/>
        </w:rPr>
        <w:t xml:space="preserve"> (HEFCE), Job Centre Plus Outreach in Schools, Young Apprenticeship </w:t>
      </w:r>
      <w:r w:rsidR="00E8467D" w:rsidRPr="00024A60">
        <w:rPr>
          <w:rFonts w:ascii="Gill Sans MT" w:hAnsi="Gill Sans MT"/>
          <w:color w:val="7F7F7F" w:themeColor="text1" w:themeTint="80"/>
          <w:sz w:val="22"/>
          <w:szCs w:val="22"/>
        </w:rPr>
        <w:t>Ambassador</w:t>
      </w:r>
      <w:r w:rsidR="00C61A39" w:rsidRPr="00024A60">
        <w:rPr>
          <w:rFonts w:ascii="Gill Sans MT" w:hAnsi="Gill Sans MT"/>
          <w:color w:val="7F7F7F" w:themeColor="text1" w:themeTint="80"/>
          <w:sz w:val="22"/>
          <w:szCs w:val="22"/>
        </w:rPr>
        <w:t xml:space="preserve"> Network</w:t>
      </w:r>
      <w:r w:rsidR="00193237" w:rsidRPr="00024A60">
        <w:rPr>
          <w:rFonts w:ascii="Gill Sans MT" w:hAnsi="Gill Sans MT"/>
          <w:color w:val="7F7F7F" w:themeColor="text1" w:themeTint="80"/>
          <w:sz w:val="22"/>
          <w:szCs w:val="22"/>
        </w:rPr>
        <w:t xml:space="preserve">, </w:t>
      </w:r>
      <w:r w:rsidR="00E8467D" w:rsidRPr="00024A60">
        <w:rPr>
          <w:rFonts w:ascii="Gill Sans MT" w:hAnsi="Gill Sans MT"/>
          <w:color w:val="7F7F7F" w:themeColor="text1" w:themeTint="80"/>
          <w:sz w:val="22"/>
          <w:szCs w:val="22"/>
        </w:rPr>
        <w:t>and Industrial</w:t>
      </w:r>
      <w:r w:rsidR="00193237" w:rsidRPr="00024A60">
        <w:rPr>
          <w:rFonts w:ascii="Gill Sans MT" w:hAnsi="Gill Sans MT"/>
          <w:color w:val="7F7F7F" w:themeColor="text1" w:themeTint="80"/>
          <w:sz w:val="22"/>
          <w:szCs w:val="22"/>
        </w:rPr>
        <w:t xml:space="preserve"> Cadets </w:t>
      </w:r>
      <w:r w:rsidR="00E8467D" w:rsidRPr="00024A60">
        <w:rPr>
          <w:rFonts w:ascii="Gill Sans MT" w:hAnsi="Gill Sans MT"/>
          <w:color w:val="7F7F7F" w:themeColor="text1" w:themeTint="80"/>
          <w:sz w:val="22"/>
          <w:szCs w:val="22"/>
        </w:rPr>
        <w:t>etc.</w:t>
      </w:r>
      <w:r w:rsidR="00C61A39" w:rsidRPr="00024A60">
        <w:rPr>
          <w:rFonts w:ascii="Gill Sans MT" w:hAnsi="Gill Sans MT"/>
          <w:color w:val="7F7F7F" w:themeColor="text1" w:themeTint="80"/>
          <w:sz w:val="22"/>
          <w:szCs w:val="22"/>
        </w:rPr>
        <w:t xml:space="preserve">  </w:t>
      </w:r>
      <w:r w:rsidR="00E8467D" w:rsidRPr="00024A60">
        <w:rPr>
          <w:rFonts w:ascii="Gill Sans MT" w:hAnsi="Gill Sans MT"/>
          <w:color w:val="7F7F7F" w:themeColor="text1" w:themeTint="80"/>
          <w:sz w:val="22"/>
          <w:szCs w:val="22"/>
        </w:rPr>
        <w:t>and</w:t>
      </w:r>
      <w:r w:rsidR="00C61A39" w:rsidRPr="00024A60">
        <w:rPr>
          <w:rFonts w:ascii="Gill Sans MT" w:hAnsi="Gill Sans MT"/>
          <w:color w:val="7F7F7F" w:themeColor="text1" w:themeTint="80"/>
          <w:sz w:val="22"/>
          <w:szCs w:val="22"/>
        </w:rPr>
        <w:t xml:space="preserve"> how the interface with employers can be better coordinated. The various programmes can create confusion amongst employers which will hamper their ability to take </w:t>
      </w:r>
      <w:r w:rsidR="00E8467D" w:rsidRPr="00024A60">
        <w:rPr>
          <w:rFonts w:ascii="Gill Sans MT" w:hAnsi="Gill Sans MT"/>
          <w:color w:val="7F7F7F" w:themeColor="text1" w:themeTint="80"/>
          <w:sz w:val="22"/>
          <w:szCs w:val="22"/>
        </w:rPr>
        <w:t>part and</w:t>
      </w:r>
      <w:r w:rsidR="0017233E" w:rsidRPr="00024A60">
        <w:rPr>
          <w:rFonts w:ascii="Gill Sans MT" w:hAnsi="Gill Sans MT"/>
          <w:color w:val="7F7F7F" w:themeColor="text1" w:themeTint="80"/>
          <w:sz w:val="22"/>
          <w:szCs w:val="22"/>
        </w:rPr>
        <w:t xml:space="preserve"> </w:t>
      </w:r>
      <w:r w:rsidR="00C61A39" w:rsidRPr="00024A60">
        <w:rPr>
          <w:rFonts w:ascii="Gill Sans MT" w:hAnsi="Gill Sans MT"/>
          <w:color w:val="7F7F7F" w:themeColor="text1" w:themeTint="80"/>
          <w:sz w:val="22"/>
          <w:szCs w:val="22"/>
        </w:rPr>
        <w:t>or offer work experience</w:t>
      </w:r>
      <w:r w:rsidR="0017233E" w:rsidRPr="00024A60">
        <w:rPr>
          <w:rFonts w:ascii="Gill Sans MT" w:hAnsi="Gill Sans MT"/>
          <w:color w:val="7F7F7F" w:themeColor="text1" w:themeTint="80"/>
          <w:sz w:val="22"/>
          <w:szCs w:val="22"/>
        </w:rPr>
        <w:t xml:space="preserve"> / WRL opportunities for young people.</w:t>
      </w:r>
    </w:p>
    <w:p w14:paraId="2F75F319" w14:textId="77777777" w:rsidR="003D7606" w:rsidRPr="00024A60" w:rsidRDefault="003D7606" w:rsidP="0095319F">
      <w:pPr>
        <w:pStyle w:val="Default"/>
        <w:spacing w:after="42"/>
        <w:rPr>
          <w:rFonts w:ascii="Gill Sans MT" w:hAnsi="Gill Sans MT"/>
          <w:color w:val="7F7F7F" w:themeColor="text1" w:themeTint="80"/>
          <w:sz w:val="22"/>
          <w:szCs w:val="22"/>
        </w:rPr>
      </w:pPr>
    </w:p>
    <w:p w14:paraId="5AFBCA0A" w14:textId="77777777" w:rsidR="00E8467D"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5.8 </w:t>
      </w:r>
      <w:r w:rsidR="00C61A39" w:rsidRPr="00024A60">
        <w:rPr>
          <w:rFonts w:ascii="Gill Sans MT" w:hAnsi="Gill Sans MT"/>
          <w:color w:val="7F7F7F" w:themeColor="text1" w:themeTint="80"/>
          <w:sz w:val="22"/>
          <w:szCs w:val="22"/>
        </w:rPr>
        <w:t xml:space="preserve">EBPs used to work with employers to generate new work experience </w:t>
      </w:r>
      <w:r w:rsidR="0017233E" w:rsidRPr="00024A60">
        <w:rPr>
          <w:rFonts w:ascii="Gill Sans MT" w:hAnsi="Gill Sans MT"/>
          <w:color w:val="7F7F7F" w:themeColor="text1" w:themeTint="80"/>
          <w:sz w:val="22"/>
          <w:szCs w:val="22"/>
        </w:rPr>
        <w:t>opportunities,</w:t>
      </w:r>
      <w:r w:rsidR="00C61A39" w:rsidRPr="00024A60">
        <w:rPr>
          <w:rFonts w:ascii="Gill Sans MT" w:hAnsi="Gill Sans MT"/>
          <w:color w:val="7F7F7F" w:themeColor="text1" w:themeTint="80"/>
          <w:sz w:val="22"/>
          <w:szCs w:val="22"/>
        </w:rPr>
        <w:t xml:space="preserve"> enhance the quality o</w:t>
      </w:r>
      <w:r w:rsidR="00701243" w:rsidRPr="00024A60">
        <w:rPr>
          <w:rFonts w:ascii="Gill Sans MT" w:hAnsi="Gill Sans MT"/>
          <w:color w:val="7F7F7F" w:themeColor="text1" w:themeTint="80"/>
          <w:sz w:val="22"/>
          <w:szCs w:val="22"/>
        </w:rPr>
        <w:t xml:space="preserve">f these placements </w:t>
      </w:r>
      <w:r w:rsidR="00E8467D" w:rsidRPr="00024A60">
        <w:rPr>
          <w:rFonts w:ascii="Gill Sans MT" w:hAnsi="Gill Sans MT"/>
          <w:color w:val="7F7F7F" w:themeColor="text1" w:themeTint="80"/>
          <w:sz w:val="22"/>
          <w:szCs w:val="22"/>
        </w:rPr>
        <w:t>and</w:t>
      </w:r>
      <w:r w:rsidR="0017233E" w:rsidRPr="00024A60">
        <w:rPr>
          <w:rFonts w:ascii="Gill Sans MT" w:hAnsi="Gill Sans MT"/>
          <w:color w:val="7F7F7F" w:themeColor="text1" w:themeTint="80"/>
          <w:sz w:val="22"/>
          <w:szCs w:val="22"/>
        </w:rPr>
        <w:t xml:space="preserve"> make it easy for employers to </w:t>
      </w:r>
      <w:r w:rsidR="00E8467D" w:rsidRPr="00024A60">
        <w:rPr>
          <w:rFonts w:ascii="Gill Sans MT" w:hAnsi="Gill Sans MT"/>
          <w:color w:val="7F7F7F" w:themeColor="text1" w:themeTint="80"/>
          <w:sz w:val="22"/>
          <w:szCs w:val="22"/>
        </w:rPr>
        <w:t xml:space="preserve">engage. </w:t>
      </w:r>
      <w:r w:rsidR="00C61A39" w:rsidRPr="00024A60">
        <w:rPr>
          <w:rFonts w:ascii="Gill Sans MT" w:hAnsi="Gill Sans MT"/>
          <w:color w:val="7F7F7F" w:themeColor="text1" w:themeTint="80"/>
          <w:sz w:val="22"/>
          <w:szCs w:val="22"/>
        </w:rPr>
        <w:t>Due to th</w:t>
      </w:r>
      <w:r w:rsidR="00701243" w:rsidRPr="00024A60">
        <w:rPr>
          <w:rFonts w:ascii="Gill Sans MT" w:hAnsi="Gill Sans MT"/>
          <w:color w:val="7F7F7F" w:themeColor="text1" w:themeTint="80"/>
          <w:sz w:val="22"/>
          <w:szCs w:val="22"/>
        </w:rPr>
        <w:t xml:space="preserve">e way they are currently funded, </w:t>
      </w:r>
      <w:r w:rsidR="00C61A39" w:rsidRPr="00024A60">
        <w:rPr>
          <w:rFonts w:ascii="Gill Sans MT" w:hAnsi="Gill Sans MT"/>
          <w:color w:val="7F7F7F" w:themeColor="text1" w:themeTint="80"/>
          <w:sz w:val="22"/>
          <w:szCs w:val="22"/>
        </w:rPr>
        <w:t xml:space="preserve">this work is no longer possible unless alternative resources </w:t>
      </w:r>
      <w:r w:rsidR="0017233E" w:rsidRPr="00024A60">
        <w:rPr>
          <w:rFonts w:ascii="Gill Sans MT" w:hAnsi="Gill Sans MT"/>
          <w:color w:val="7F7F7F" w:themeColor="text1" w:themeTint="80"/>
          <w:sz w:val="22"/>
          <w:szCs w:val="22"/>
        </w:rPr>
        <w:t>through tendering are secured or a different approach is taken as outlined above.</w:t>
      </w:r>
    </w:p>
    <w:p w14:paraId="0882D82C" w14:textId="77777777" w:rsidR="001E55C4" w:rsidRPr="00024A60" w:rsidRDefault="001E55C4" w:rsidP="00734749">
      <w:pPr>
        <w:pStyle w:val="Default"/>
        <w:spacing w:after="42"/>
        <w:rPr>
          <w:rFonts w:ascii="Gill Sans MT" w:hAnsi="Gill Sans MT"/>
          <w:color w:val="7F7F7F" w:themeColor="text1" w:themeTint="80"/>
          <w:sz w:val="22"/>
          <w:szCs w:val="22"/>
        </w:rPr>
      </w:pPr>
    </w:p>
    <w:p w14:paraId="1EABD119" w14:textId="77777777" w:rsidR="0095319F"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5.9 </w:t>
      </w:r>
      <w:r w:rsidR="0017233E" w:rsidRPr="00024A60">
        <w:rPr>
          <w:rFonts w:ascii="Gill Sans MT" w:hAnsi="Gill Sans MT"/>
          <w:color w:val="7F7F7F" w:themeColor="text1" w:themeTint="80"/>
          <w:sz w:val="22"/>
          <w:szCs w:val="22"/>
        </w:rPr>
        <w:t>The statutory careers guidance</w:t>
      </w:r>
      <w:r w:rsidR="0017233E" w:rsidRPr="00024A60">
        <w:rPr>
          <w:rStyle w:val="FootnoteReference"/>
          <w:rFonts w:ascii="Gill Sans MT" w:hAnsi="Gill Sans MT"/>
          <w:color w:val="7F7F7F" w:themeColor="text1" w:themeTint="80"/>
          <w:sz w:val="22"/>
          <w:szCs w:val="22"/>
        </w:rPr>
        <w:footnoteReference w:id="11"/>
      </w:r>
      <w:r w:rsidR="0017233E" w:rsidRPr="00024A60">
        <w:rPr>
          <w:rFonts w:ascii="Gill Sans MT" w:hAnsi="Gill Sans MT"/>
          <w:color w:val="7F7F7F" w:themeColor="text1" w:themeTint="80"/>
          <w:sz w:val="22"/>
          <w:szCs w:val="22"/>
        </w:rPr>
        <w:t xml:space="preserve"> published in January 2018 for education providers is based on the Gatsby benchmarks, with work experience featuring as benchmark 6</w:t>
      </w:r>
      <w:r w:rsidR="003D7606" w:rsidRPr="00024A60">
        <w:rPr>
          <w:rFonts w:ascii="Gill Sans MT" w:hAnsi="Gill Sans MT"/>
          <w:color w:val="7F7F7F" w:themeColor="text1" w:themeTint="80"/>
          <w:sz w:val="22"/>
          <w:szCs w:val="22"/>
        </w:rPr>
        <w:t xml:space="preserve"> as set out below</w:t>
      </w:r>
      <w:r w:rsidR="0017233E" w:rsidRPr="00024A60">
        <w:rPr>
          <w:rFonts w:ascii="Gill Sans MT" w:hAnsi="Gill Sans MT"/>
          <w:color w:val="7F7F7F" w:themeColor="text1" w:themeTint="80"/>
          <w:sz w:val="22"/>
          <w:szCs w:val="22"/>
        </w:rPr>
        <w:t>. The guidance is open to interpretation by schools</w:t>
      </w:r>
      <w:r w:rsidR="00A44AB2" w:rsidRPr="00024A60">
        <w:rPr>
          <w:rFonts w:ascii="Gill Sans MT" w:hAnsi="Gill Sans MT"/>
          <w:color w:val="7F7F7F" w:themeColor="text1" w:themeTint="80"/>
          <w:sz w:val="22"/>
          <w:szCs w:val="22"/>
        </w:rPr>
        <w:t xml:space="preserve"> &amp; colleges</w:t>
      </w:r>
      <w:r w:rsidR="0017233E" w:rsidRPr="00024A60">
        <w:rPr>
          <w:rFonts w:ascii="Gill Sans MT" w:hAnsi="Gill Sans MT"/>
          <w:color w:val="7F7F7F" w:themeColor="text1" w:themeTint="80"/>
          <w:sz w:val="22"/>
          <w:szCs w:val="22"/>
        </w:rPr>
        <w:t xml:space="preserve">. </w:t>
      </w:r>
      <w:r w:rsidR="003D7606" w:rsidRPr="00024A60">
        <w:rPr>
          <w:rFonts w:ascii="Gill Sans MT" w:hAnsi="Gill Sans MT"/>
          <w:color w:val="7F7F7F" w:themeColor="text1" w:themeTint="80"/>
          <w:sz w:val="22"/>
          <w:szCs w:val="22"/>
        </w:rPr>
        <w:t>E</w:t>
      </w:r>
      <w:r w:rsidR="0017233E" w:rsidRPr="00024A60">
        <w:rPr>
          <w:rFonts w:ascii="Gill Sans MT" w:hAnsi="Gill Sans MT"/>
          <w:color w:val="7F7F7F" w:themeColor="text1" w:themeTint="80"/>
          <w:sz w:val="22"/>
          <w:szCs w:val="22"/>
        </w:rPr>
        <w:t>xperience of a work place through a one off visit to an employer is quite different to a block or ext</w:t>
      </w:r>
      <w:r w:rsidR="00701243" w:rsidRPr="00024A60">
        <w:rPr>
          <w:rFonts w:ascii="Gill Sans MT" w:hAnsi="Gill Sans MT"/>
          <w:color w:val="7F7F7F" w:themeColor="text1" w:themeTint="80"/>
          <w:sz w:val="22"/>
          <w:szCs w:val="22"/>
        </w:rPr>
        <w:t>ended period of work experience.</w:t>
      </w:r>
    </w:p>
    <w:p w14:paraId="40818001" w14:textId="77777777" w:rsidR="0017233E" w:rsidRPr="00024A60" w:rsidRDefault="0017233E" w:rsidP="00734749">
      <w:pPr>
        <w:pStyle w:val="Default"/>
        <w:spacing w:after="42"/>
        <w:rPr>
          <w:rFonts w:ascii="Gill Sans MT" w:hAnsi="Gill Sans MT"/>
          <w:color w:val="7F7F7F" w:themeColor="text1" w:themeTint="80"/>
          <w:sz w:val="22"/>
          <w:szCs w:val="22"/>
        </w:rPr>
      </w:pPr>
    </w:p>
    <w:p w14:paraId="43186AA0" w14:textId="77777777" w:rsidR="0017233E" w:rsidRPr="00024A60" w:rsidRDefault="00024A60" w:rsidP="0017233E">
      <w:pPr>
        <w:pStyle w:val="Default"/>
        <w:rPr>
          <w:rFonts w:ascii="Gill Sans MT" w:hAnsi="Gill Sans MT"/>
          <w:i/>
          <w:color w:val="7F7F7F" w:themeColor="text1" w:themeTint="80"/>
          <w:sz w:val="22"/>
          <w:szCs w:val="22"/>
        </w:rPr>
      </w:pPr>
      <w:r>
        <w:rPr>
          <w:rFonts w:ascii="Gill Sans MT" w:hAnsi="Gill Sans MT"/>
          <w:i/>
          <w:color w:val="7F7F7F" w:themeColor="text1" w:themeTint="80"/>
          <w:sz w:val="22"/>
          <w:szCs w:val="22"/>
        </w:rPr>
        <w:t xml:space="preserve">6.0 </w:t>
      </w:r>
      <w:r w:rsidR="0017233E" w:rsidRPr="00024A60">
        <w:rPr>
          <w:rFonts w:ascii="Gill Sans MT" w:hAnsi="Gill Sans MT"/>
          <w:i/>
          <w:color w:val="7F7F7F" w:themeColor="text1" w:themeTint="80"/>
          <w:sz w:val="22"/>
          <w:szCs w:val="22"/>
        </w:rPr>
        <w:t xml:space="preserve">Every student should have first-hand experiences of the workplace through work visits, work shadowing </w:t>
      </w:r>
      <w:r w:rsidR="0017233E" w:rsidRPr="00024A60">
        <w:rPr>
          <w:rFonts w:ascii="Gill Sans MT" w:hAnsi="Gill Sans MT"/>
          <w:b/>
          <w:i/>
          <w:color w:val="7F7F7F" w:themeColor="text1" w:themeTint="80"/>
          <w:sz w:val="22"/>
          <w:szCs w:val="22"/>
        </w:rPr>
        <w:t>and/or</w:t>
      </w:r>
      <w:r w:rsidR="0017233E" w:rsidRPr="00024A60">
        <w:rPr>
          <w:rFonts w:ascii="Gill Sans MT" w:hAnsi="Gill Sans MT"/>
          <w:i/>
          <w:color w:val="7F7F7F" w:themeColor="text1" w:themeTint="80"/>
          <w:sz w:val="22"/>
          <w:szCs w:val="22"/>
        </w:rPr>
        <w:t xml:space="preserve"> work experience to help their exploration of career opportunities, and expand their networks. </w:t>
      </w:r>
    </w:p>
    <w:p w14:paraId="1ABF41D0" w14:textId="77777777" w:rsidR="003D7606" w:rsidRPr="00024A60" w:rsidRDefault="003D7606" w:rsidP="0017233E">
      <w:pPr>
        <w:pStyle w:val="Default"/>
        <w:rPr>
          <w:rFonts w:ascii="Gill Sans MT" w:hAnsi="Gill Sans MT"/>
          <w:i/>
          <w:color w:val="7F7F7F" w:themeColor="text1" w:themeTint="80"/>
          <w:sz w:val="22"/>
          <w:szCs w:val="22"/>
        </w:rPr>
      </w:pPr>
    </w:p>
    <w:p w14:paraId="364C7931" w14:textId="77777777" w:rsidR="0017233E" w:rsidRPr="00024A60" w:rsidRDefault="0017233E" w:rsidP="0017233E">
      <w:pPr>
        <w:pStyle w:val="Default"/>
        <w:numPr>
          <w:ilvl w:val="0"/>
          <w:numId w:val="27"/>
        </w:numPr>
        <w:spacing w:after="42"/>
        <w:rPr>
          <w:rFonts w:ascii="Gill Sans MT" w:hAnsi="Gill Sans MT"/>
          <w:i/>
          <w:color w:val="7F7F7F" w:themeColor="text1" w:themeTint="80"/>
          <w:sz w:val="22"/>
          <w:szCs w:val="22"/>
        </w:rPr>
      </w:pPr>
      <w:r w:rsidRPr="00024A60">
        <w:rPr>
          <w:rFonts w:ascii="Gill Sans MT" w:hAnsi="Gill Sans MT"/>
          <w:i/>
          <w:color w:val="7F7F7F" w:themeColor="text1" w:themeTint="80"/>
          <w:sz w:val="22"/>
          <w:szCs w:val="22"/>
        </w:rPr>
        <w:t>By the age of 16, every pupil should have had at least one experience of a workplace, additional to any part-time jobs they may have.</w:t>
      </w:r>
    </w:p>
    <w:p w14:paraId="2ED22238" w14:textId="77777777" w:rsidR="00A44AB2" w:rsidRPr="00024A60" w:rsidRDefault="0017233E" w:rsidP="00A44AB2">
      <w:pPr>
        <w:pStyle w:val="Default"/>
        <w:numPr>
          <w:ilvl w:val="0"/>
          <w:numId w:val="27"/>
        </w:numPr>
        <w:spacing w:after="42"/>
        <w:rPr>
          <w:rFonts w:ascii="Gill Sans MT" w:hAnsi="Gill Sans MT"/>
          <w:i/>
          <w:color w:val="7F7F7F" w:themeColor="text1" w:themeTint="80"/>
          <w:sz w:val="22"/>
          <w:szCs w:val="22"/>
        </w:rPr>
      </w:pPr>
      <w:r w:rsidRPr="00024A60">
        <w:rPr>
          <w:rFonts w:ascii="Gill Sans MT" w:hAnsi="Gill Sans MT"/>
          <w:i/>
          <w:color w:val="7F7F7F" w:themeColor="text1" w:themeTint="80"/>
          <w:sz w:val="22"/>
          <w:szCs w:val="22"/>
        </w:rPr>
        <w:t>By the age of 18, every pupil should have had one further such experience, additional to any part-time jobs they may have.</w:t>
      </w:r>
    </w:p>
    <w:p w14:paraId="4E779AE1" w14:textId="77777777" w:rsidR="008150BD" w:rsidRPr="00024A60" w:rsidRDefault="008150BD" w:rsidP="008150BD">
      <w:pPr>
        <w:pStyle w:val="Default"/>
        <w:spacing w:after="42"/>
        <w:ind w:left="720"/>
        <w:rPr>
          <w:rFonts w:ascii="Gill Sans MT" w:hAnsi="Gill Sans MT"/>
          <w:i/>
          <w:color w:val="7F7F7F" w:themeColor="text1" w:themeTint="80"/>
          <w:sz w:val="22"/>
          <w:szCs w:val="22"/>
        </w:rPr>
      </w:pPr>
    </w:p>
    <w:p w14:paraId="5D7D9017" w14:textId="77777777" w:rsidR="00102069" w:rsidRPr="00024A60" w:rsidRDefault="00024A60" w:rsidP="00A44AB2">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6. 1 </w:t>
      </w:r>
      <w:r w:rsidR="00A44AB2" w:rsidRPr="00024A60">
        <w:rPr>
          <w:rFonts w:ascii="Gill Sans MT" w:hAnsi="Gill Sans MT"/>
          <w:color w:val="7F7F7F" w:themeColor="text1" w:themeTint="80"/>
          <w:sz w:val="22"/>
          <w:szCs w:val="22"/>
        </w:rPr>
        <w:t xml:space="preserve">The Gatsby guidance is also open to interpretation for </w:t>
      </w:r>
      <w:r w:rsidR="008150BD" w:rsidRPr="00024A60">
        <w:rPr>
          <w:rFonts w:ascii="Gill Sans MT" w:hAnsi="Gill Sans MT"/>
          <w:color w:val="7F7F7F" w:themeColor="text1" w:themeTint="80"/>
          <w:sz w:val="22"/>
          <w:szCs w:val="22"/>
        </w:rPr>
        <w:t>c</w:t>
      </w:r>
      <w:r w:rsidR="00A44AB2" w:rsidRPr="00024A60">
        <w:rPr>
          <w:rFonts w:ascii="Gill Sans MT" w:hAnsi="Gill Sans MT"/>
          <w:color w:val="7F7F7F" w:themeColor="text1" w:themeTint="80"/>
          <w:sz w:val="22"/>
          <w:szCs w:val="22"/>
        </w:rPr>
        <w:t xml:space="preserve">olleges however, work experience features more significantly within the Ofsted </w:t>
      </w:r>
      <w:r w:rsidR="008150BD" w:rsidRPr="00024A60">
        <w:rPr>
          <w:rFonts w:ascii="Gill Sans MT" w:hAnsi="Gill Sans MT"/>
          <w:color w:val="7F7F7F" w:themeColor="text1" w:themeTint="80"/>
          <w:sz w:val="22"/>
          <w:szCs w:val="22"/>
        </w:rPr>
        <w:t>further education and</w:t>
      </w:r>
      <w:r w:rsidR="00A44AB2" w:rsidRPr="00024A60">
        <w:rPr>
          <w:rFonts w:ascii="Gill Sans MT" w:hAnsi="Gill Sans MT"/>
          <w:color w:val="7F7F7F" w:themeColor="text1" w:themeTint="80"/>
          <w:sz w:val="22"/>
          <w:szCs w:val="22"/>
        </w:rPr>
        <w:t xml:space="preserve"> skills inspection handbook</w:t>
      </w:r>
      <w:r w:rsidR="00A44AB2" w:rsidRPr="00024A60">
        <w:rPr>
          <w:rStyle w:val="FootnoteReference"/>
          <w:rFonts w:ascii="Gill Sans MT" w:hAnsi="Gill Sans MT"/>
          <w:color w:val="7F7F7F" w:themeColor="text1" w:themeTint="80"/>
          <w:sz w:val="22"/>
          <w:szCs w:val="22"/>
        </w:rPr>
        <w:footnoteReference w:id="12"/>
      </w:r>
      <w:r w:rsidR="00A44AB2" w:rsidRPr="00024A60">
        <w:rPr>
          <w:rFonts w:ascii="Gill Sans MT" w:hAnsi="Gill Sans MT"/>
          <w:color w:val="7F7F7F" w:themeColor="text1" w:themeTint="80"/>
          <w:sz w:val="22"/>
          <w:szCs w:val="22"/>
        </w:rPr>
        <w:t xml:space="preserve">. </w:t>
      </w:r>
      <w:r w:rsidR="00102069" w:rsidRPr="00024A60">
        <w:rPr>
          <w:rFonts w:ascii="Gill Sans MT" w:hAnsi="Gill Sans MT"/>
          <w:color w:val="7F7F7F" w:themeColor="text1" w:themeTint="80"/>
          <w:sz w:val="22"/>
          <w:szCs w:val="22"/>
        </w:rPr>
        <w:t xml:space="preserve"> </w:t>
      </w:r>
    </w:p>
    <w:p w14:paraId="350DA0D7" w14:textId="77777777" w:rsidR="0017233E" w:rsidRPr="00024A60" w:rsidRDefault="00024A60" w:rsidP="00102069">
      <w:r>
        <w:rPr>
          <w:color w:val="7F7F7F" w:themeColor="text1" w:themeTint="80"/>
          <w:sz w:val="22"/>
          <w:szCs w:val="22"/>
        </w:rPr>
        <w:t xml:space="preserve">6.2 </w:t>
      </w:r>
      <w:r w:rsidR="0017233E" w:rsidRPr="00024A60">
        <w:rPr>
          <w:color w:val="7F7F7F" w:themeColor="text1" w:themeTint="80"/>
          <w:sz w:val="22"/>
          <w:szCs w:val="22"/>
        </w:rPr>
        <w:t>Government should make block</w:t>
      </w:r>
      <w:r w:rsidR="00193237" w:rsidRPr="00024A60">
        <w:rPr>
          <w:color w:val="7F7F7F" w:themeColor="text1" w:themeTint="80"/>
          <w:sz w:val="22"/>
          <w:szCs w:val="22"/>
        </w:rPr>
        <w:t xml:space="preserve"> </w:t>
      </w:r>
      <w:r w:rsidR="00701243" w:rsidRPr="00024A60">
        <w:rPr>
          <w:color w:val="7F7F7F" w:themeColor="text1" w:themeTint="80"/>
          <w:sz w:val="22"/>
          <w:szCs w:val="22"/>
        </w:rPr>
        <w:t>and /</w:t>
      </w:r>
      <w:r w:rsidR="00193237" w:rsidRPr="00024A60">
        <w:rPr>
          <w:color w:val="7F7F7F" w:themeColor="text1" w:themeTint="80"/>
          <w:sz w:val="22"/>
          <w:szCs w:val="22"/>
        </w:rPr>
        <w:t xml:space="preserve">or extended </w:t>
      </w:r>
      <w:r w:rsidR="0017233E" w:rsidRPr="00024A60">
        <w:rPr>
          <w:color w:val="7F7F7F" w:themeColor="text1" w:themeTint="80"/>
          <w:sz w:val="22"/>
          <w:szCs w:val="22"/>
        </w:rPr>
        <w:t xml:space="preserve">work experience </w:t>
      </w:r>
      <w:r w:rsidR="00193237" w:rsidRPr="00024A60">
        <w:rPr>
          <w:color w:val="7F7F7F" w:themeColor="text1" w:themeTint="80"/>
          <w:sz w:val="22"/>
          <w:szCs w:val="22"/>
        </w:rPr>
        <w:t>a statutory requireme</w:t>
      </w:r>
      <w:r w:rsidR="001E55C4" w:rsidRPr="00024A60">
        <w:rPr>
          <w:color w:val="7F7F7F" w:themeColor="text1" w:themeTint="80"/>
          <w:sz w:val="22"/>
          <w:szCs w:val="22"/>
        </w:rPr>
        <w:t>nt as part of 11 – 16 education in addition to maintaining requirements</w:t>
      </w:r>
      <w:r w:rsidR="008150BD" w:rsidRPr="00024A60">
        <w:rPr>
          <w:color w:val="7F7F7F" w:themeColor="text1" w:themeTint="80"/>
          <w:sz w:val="22"/>
          <w:szCs w:val="22"/>
        </w:rPr>
        <w:t xml:space="preserve"> and rigour</w:t>
      </w:r>
      <w:r w:rsidR="001E55C4" w:rsidRPr="00024A60">
        <w:rPr>
          <w:color w:val="7F7F7F" w:themeColor="text1" w:themeTint="80"/>
          <w:sz w:val="22"/>
          <w:szCs w:val="22"/>
        </w:rPr>
        <w:t xml:space="preserve"> set out within the Ofsted School and Further education &amp; skills inspection handbooks for work experience provision post 16.</w:t>
      </w:r>
    </w:p>
    <w:p w14:paraId="66E033D1" w14:textId="77777777" w:rsidR="0017233E" w:rsidRPr="00024A60" w:rsidRDefault="0017233E" w:rsidP="00734749">
      <w:pPr>
        <w:pStyle w:val="Default"/>
        <w:spacing w:after="42"/>
        <w:rPr>
          <w:rFonts w:ascii="Gill Sans MT" w:hAnsi="Gill Sans MT"/>
          <w:color w:val="7F7F7F" w:themeColor="text1" w:themeTint="80"/>
          <w:sz w:val="22"/>
          <w:szCs w:val="22"/>
        </w:rPr>
      </w:pPr>
    </w:p>
    <w:p w14:paraId="4230BF5A" w14:textId="77777777" w:rsidR="0017233E"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6.3 </w:t>
      </w:r>
      <w:r w:rsidR="00193237" w:rsidRPr="00024A60">
        <w:rPr>
          <w:rFonts w:ascii="Gill Sans MT" w:hAnsi="Gill Sans MT"/>
          <w:color w:val="7F7F7F" w:themeColor="text1" w:themeTint="80"/>
          <w:sz w:val="22"/>
          <w:szCs w:val="22"/>
        </w:rPr>
        <w:t>The school inspection handbook</w:t>
      </w:r>
      <w:r w:rsidR="00193237" w:rsidRPr="00024A60">
        <w:rPr>
          <w:rStyle w:val="FootnoteReference"/>
          <w:rFonts w:ascii="Gill Sans MT" w:hAnsi="Gill Sans MT"/>
          <w:color w:val="7F7F7F" w:themeColor="text1" w:themeTint="80"/>
          <w:sz w:val="22"/>
          <w:szCs w:val="22"/>
        </w:rPr>
        <w:footnoteReference w:id="13"/>
      </w:r>
      <w:r w:rsidR="00193237" w:rsidRPr="00024A60">
        <w:rPr>
          <w:rFonts w:ascii="Gill Sans MT" w:hAnsi="Gill Sans MT"/>
          <w:color w:val="7F7F7F" w:themeColor="text1" w:themeTint="80"/>
          <w:sz w:val="22"/>
          <w:szCs w:val="22"/>
        </w:rPr>
        <w:t xml:space="preserve"> for some time has stated that inspectors will consider how well</w:t>
      </w:r>
    </w:p>
    <w:p w14:paraId="6329C525" w14:textId="77777777" w:rsidR="00193237" w:rsidRPr="00024A60" w:rsidRDefault="00193237" w:rsidP="00193237">
      <w:pPr>
        <w:numPr>
          <w:ilvl w:val="0"/>
          <w:numId w:val="0"/>
        </w:numPr>
        <w:autoSpaceDE w:val="0"/>
        <w:autoSpaceDN w:val="0"/>
        <w:adjustRightInd w:val="0"/>
        <w:spacing w:before="0"/>
        <w:rPr>
          <w:rFonts w:cs="Tahoma"/>
          <w:i/>
          <w:color w:val="7F7F7F" w:themeColor="text1" w:themeTint="80"/>
          <w:sz w:val="22"/>
          <w:szCs w:val="22"/>
        </w:rPr>
      </w:pPr>
      <w:r w:rsidRPr="00024A60">
        <w:rPr>
          <w:rFonts w:cs="Arial"/>
          <w:i/>
          <w:color w:val="7F7F7F" w:themeColor="text1" w:themeTint="80"/>
          <w:sz w:val="22"/>
          <w:szCs w:val="22"/>
        </w:rPr>
        <w:t>‘</w:t>
      </w:r>
      <w:r w:rsidRPr="00024A60">
        <w:rPr>
          <w:rFonts w:cs="Tahoma"/>
          <w:i/>
          <w:color w:val="7F7F7F" w:themeColor="text1" w:themeTint="80"/>
          <w:sz w:val="22"/>
          <w:szCs w:val="22"/>
        </w:rPr>
        <w:t>learners receive high quality impartial careers guidance that prepares them for their chosen next steps and enables them to make well-informed decisions about their future plans’.</w:t>
      </w:r>
    </w:p>
    <w:p w14:paraId="547D1A65" w14:textId="77777777" w:rsidR="00193237" w:rsidRPr="00024A60" w:rsidRDefault="00193237" w:rsidP="00193237">
      <w:pPr>
        <w:numPr>
          <w:ilvl w:val="0"/>
          <w:numId w:val="0"/>
        </w:numPr>
        <w:autoSpaceDE w:val="0"/>
        <w:autoSpaceDN w:val="0"/>
        <w:adjustRightInd w:val="0"/>
        <w:spacing w:before="0"/>
        <w:rPr>
          <w:rFonts w:cs="Tahoma"/>
          <w:color w:val="7F7F7F" w:themeColor="text1" w:themeTint="80"/>
          <w:sz w:val="22"/>
          <w:szCs w:val="22"/>
        </w:rPr>
      </w:pPr>
    </w:p>
    <w:p w14:paraId="5E6A7B7E" w14:textId="77777777" w:rsidR="00E95A21" w:rsidRPr="00024A60" w:rsidRDefault="00024A60" w:rsidP="00193237">
      <w:pPr>
        <w:numPr>
          <w:ilvl w:val="0"/>
          <w:numId w:val="0"/>
        </w:numPr>
        <w:autoSpaceDE w:val="0"/>
        <w:autoSpaceDN w:val="0"/>
        <w:adjustRightInd w:val="0"/>
        <w:spacing w:before="0"/>
        <w:rPr>
          <w:rFonts w:cs="Tahoma"/>
          <w:color w:val="7F7F7F" w:themeColor="text1" w:themeTint="80"/>
          <w:sz w:val="22"/>
          <w:szCs w:val="22"/>
        </w:rPr>
      </w:pPr>
      <w:r>
        <w:rPr>
          <w:rFonts w:cs="Tahoma"/>
          <w:color w:val="7F7F7F" w:themeColor="text1" w:themeTint="80"/>
          <w:sz w:val="22"/>
          <w:szCs w:val="22"/>
        </w:rPr>
        <w:t xml:space="preserve">6.4 </w:t>
      </w:r>
      <w:r w:rsidR="00193237" w:rsidRPr="00024A60">
        <w:rPr>
          <w:rFonts w:cs="Tahoma"/>
          <w:color w:val="7F7F7F" w:themeColor="text1" w:themeTint="80"/>
          <w:sz w:val="22"/>
          <w:szCs w:val="22"/>
        </w:rPr>
        <w:t>However feedback has suggested that there is an inco</w:t>
      </w:r>
      <w:r w:rsidR="003D7606" w:rsidRPr="00024A60">
        <w:rPr>
          <w:rFonts w:cs="Tahoma"/>
          <w:color w:val="7F7F7F" w:themeColor="text1" w:themeTint="80"/>
          <w:sz w:val="22"/>
          <w:szCs w:val="22"/>
        </w:rPr>
        <w:t>n</w:t>
      </w:r>
      <w:r w:rsidR="00193237" w:rsidRPr="00024A60">
        <w:rPr>
          <w:rFonts w:cs="Tahoma"/>
          <w:color w:val="7F7F7F" w:themeColor="text1" w:themeTint="80"/>
          <w:sz w:val="22"/>
          <w:szCs w:val="22"/>
        </w:rPr>
        <w:t>s</w:t>
      </w:r>
      <w:r w:rsidR="00EF021F" w:rsidRPr="00024A60">
        <w:rPr>
          <w:rFonts w:cs="Tahoma"/>
          <w:color w:val="7F7F7F" w:themeColor="text1" w:themeTint="80"/>
          <w:sz w:val="22"/>
          <w:szCs w:val="22"/>
        </w:rPr>
        <w:t>istent</w:t>
      </w:r>
      <w:r w:rsidR="00193237" w:rsidRPr="00024A60">
        <w:rPr>
          <w:rFonts w:cs="Tahoma"/>
          <w:color w:val="7F7F7F" w:themeColor="text1" w:themeTint="80"/>
          <w:sz w:val="22"/>
          <w:szCs w:val="22"/>
        </w:rPr>
        <w:t xml:space="preserve"> approach to inspecting careers provision in </w:t>
      </w:r>
      <w:r w:rsidR="00E8467D" w:rsidRPr="00024A60">
        <w:rPr>
          <w:rFonts w:cs="Tahoma"/>
          <w:color w:val="7F7F7F" w:themeColor="text1" w:themeTint="80"/>
          <w:sz w:val="22"/>
          <w:szCs w:val="22"/>
        </w:rPr>
        <w:t xml:space="preserve">schools. </w:t>
      </w:r>
      <w:r w:rsidR="00193237" w:rsidRPr="00024A60">
        <w:rPr>
          <w:rFonts w:cs="Tahoma"/>
          <w:color w:val="7F7F7F" w:themeColor="text1" w:themeTint="80"/>
          <w:sz w:val="22"/>
          <w:szCs w:val="22"/>
        </w:rPr>
        <w:t xml:space="preserve">Government should ensure that </w:t>
      </w:r>
      <w:r w:rsidR="00193237" w:rsidRPr="00024A60">
        <w:rPr>
          <w:color w:val="7F7F7F" w:themeColor="text1" w:themeTint="80"/>
          <w:sz w:val="22"/>
          <w:szCs w:val="22"/>
        </w:rPr>
        <w:t xml:space="preserve">there is greater consistency </w:t>
      </w:r>
      <w:r w:rsidR="00E8467D" w:rsidRPr="00024A60">
        <w:rPr>
          <w:color w:val="7F7F7F" w:themeColor="text1" w:themeTint="80"/>
          <w:sz w:val="22"/>
          <w:szCs w:val="22"/>
        </w:rPr>
        <w:t>and</w:t>
      </w:r>
      <w:r w:rsidR="00193237" w:rsidRPr="00024A60">
        <w:rPr>
          <w:color w:val="7F7F7F" w:themeColor="text1" w:themeTint="80"/>
          <w:sz w:val="22"/>
          <w:szCs w:val="22"/>
        </w:rPr>
        <w:t xml:space="preserve"> rigour in relation to inspection of careers </w:t>
      </w:r>
      <w:r w:rsidR="003D7606" w:rsidRPr="00024A60">
        <w:rPr>
          <w:color w:val="7F7F7F" w:themeColor="text1" w:themeTint="80"/>
          <w:sz w:val="22"/>
          <w:szCs w:val="22"/>
        </w:rPr>
        <w:t>by Ofsted.</w:t>
      </w:r>
    </w:p>
    <w:p w14:paraId="361072B5" w14:textId="77777777" w:rsidR="00013455" w:rsidRPr="00024A60" w:rsidRDefault="00013455" w:rsidP="00013455">
      <w:pPr>
        <w:pStyle w:val="Default"/>
        <w:spacing w:after="42"/>
        <w:rPr>
          <w:rFonts w:ascii="Gill Sans MT" w:hAnsi="Gill Sans MT"/>
          <w:color w:val="7F7F7F" w:themeColor="text1" w:themeTint="80"/>
          <w:sz w:val="22"/>
          <w:szCs w:val="22"/>
        </w:rPr>
      </w:pPr>
    </w:p>
    <w:p w14:paraId="300D4CBE" w14:textId="77777777" w:rsidR="00EF021F" w:rsidRPr="00024A60" w:rsidRDefault="00024A60" w:rsidP="003D7606">
      <w:pPr>
        <w:pStyle w:val="Default"/>
        <w:spacing w:after="42"/>
        <w:rPr>
          <w:rFonts w:ascii="Gill Sans MT" w:hAnsi="Gill Sans MT" w:cs="Tahoma"/>
          <w:color w:val="7F7F7F" w:themeColor="text1" w:themeTint="80"/>
          <w:sz w:val="22"/>
          <w:szCs w:val="22"/>
        </w:rPr>
      </w:pPr>
      <w:r>
        <w:rPr>
          <w:rFonts w:ascii="Gill Sans MT" w:hAnsi="Gill Sans MT"/>
          <w:color w:val="7F7F7F" w:themeColor="text1" w:themeTint="80"/>
          <w:sz w:val="22"/>
          <w:szCs w:val="22"/>
        </w:rPr>
        <w:t xml:space="preserve">6.5 </w:t>
      </w:r>
      <w:r w:rsidR="003D7606" w:rsidRPr="00024A60">
        <w:rPr>
          <w:rFonts w:ascii="Gill Sans MT" w:hAnsi="Gill Sans MT"/>
          <w:color w:val="7F7F7F" w:themeColor="text1" w:themeTint="80"/>
          <w:sz w:val="22"/>
          <w:szCs w:val="22"/>
        </w:rPr>
        <w:t xml:space="preserve">Consideration also needs to be given to those areas that are characterised by </w:t>
      </w:r>
      <w:r w:rsidRPr="00024A60">
        <w:rPr>
          <w:rFonts w:ascii="Gill Sans MT" w:hAnsi="Gill Sans MT"/>
          <w:color w:val="7F7F7F" w:themeColor="text1" w:themeTint="80"/>
          <w:sz w:val="22"/>
          <w:szCs w:val="22"/>
        </w:rPr>
        <w:t>a</w:t>
      </w:r>
      <w:r w:rsidR="003D7606" w:rsidRPr="00024A60">
        <w:rPr>
          <w:rFonts w:ascii="Gill Sans MT" w:hAnsi="Gill Sans MT"/>
          <w:color w:val="7F7F7F" w:themeColor="text1" w:themeTint="80"/>
          <w:sz w:val="22"/>
          <w:szCs w:val="22"/>
        </w:rPr>
        <w:t xml:space="preserve"> </w:t>
      </w:r>
      <w:r w:rsidR="004C2996" w:rsidRPr="00024A60">
        <w:rPr>
          <w:rFonts w:ascii="Gill Sans MT" w:hAnsi="Gill Sans MT"/>
          <w:color w:val="7F7F7F" w:themeColor="text1" w:themeTint="80"/>
          <w:sz w:val="22"/>
          <w:szCs w:val="22"/>
        </w:rPr>
        <w:t>Small and Medium Enterprise (</w:t>
      </w:r>
      <w:r w:rsidR="003D7606" w:rsidRPr="00024A60">
        <w:rPr>
          <w:rFonts w:ascii="Gill Sans MT" w:hAnsi="Gill Sans MT"/>
          <w:color w:val="7F7F7F" w:themeColor="text1" w:themeTint="80"/>
          <w:sz w:val="22"/>
          <w:szCs w:val="22"/>
        </w:rPr>
        <w:t>SME</w:t>
      </w:r>
      <w:r w:rsidR="004C2996" w:rsidRPr="00024A60">
        <w:rPr>
          <w:rFonts w:ascii="Gill Sans MT" w:hAnsi="Gill Sans MT"/>
          <w:color w:val="7F7F7F" w:themeColor="text1" w:themeTint="80"/>
          <w:sz w:val="22"/>
          <w:szCs w:val="22"/>
        </w:rPr>
        <w:t>)</w:t>
      </w:r>
      <w:r w:rsidR="003D7606" w:rsidRPr="00024A60">
        <w:rPr>
          <w:rFonts w:ascii="Gill Sans MT" w:hAnsi="Gill Sans MT"/>
          <w:color w:val="7F7F7F" w:themeColor="text1" w:themeTint="80"/>
          <w:sz w:val="22"/>
          <w:szCs w:val="22"/>
        </w:rPr>
        <w:t xml:space="preserve"> economic landscape </w:t>
      </w:r>
      <w:r w:rsidR="00E8467D" w:rsidRPr="00024A60">
        <w:rPr>
          <w:rFonts w:ascii="Gill Sans MT" w:hAnsi="Gill Sans MT"/>
          <w:color w:val="7F7F7F" w:themeColor="text1" w:themeTint="80"/>
          <w:sz w:val="22"/>
          <w:szCs w:val="22"/>
        </w:rPr>
        <w:t>and</w:t>
      </w:r>
      <w:r w:rsidR="003D7606" w:rsidRPr="00024A60">
        <w:rPr>
          <w:rFonts w:ascii="Gill Sans MT" w:hAnsi="Gill Sans MT"/>
          <w:color w:val="7F7F7F" w:themeColor="text1" w:themeTint="80"/>
          <w:sz w:val="22"/>
          <w:szCs w:val="22"/>
        </w:rPr>
        <w:t xml:space="preserve"> how support can be provided. Research</w:t>
      </w:r>
      <w:r w:rsidR="00EF021F" w:rsidRPr="00024A60">
        <w:rPr>
          <w:rStyle w:val="FootnoteReference"/>
          <w:rFonts w:ascii="Gill Sans MT" w:hAnsi="Gill Sans MT"/>
          <w:color w:val="7F7F7F" w:themeColor="text1" w:themeTint="80"/>
          <w:sz w:val="22"/>
          <w:szCs w:val="22"/>
        </w:rPr>
        <w:footnoteReference w:id="14"/>
      </w:r>
      <w:r w:rsidR="003D7606" w:rsidRPr="00024A60">
        <w:rPr>
          <w:rFonts w:ascii="Gill Sans MT" w:hAnsi="Gill Sans MT"/>
          <w:color w:val="7F7F7F" w:themeColor="text1" w:themeTint="80"/>
          <w:sz w:val="22"/>
          <w:szCs w:val="22"/>
        </w:rPr>
        <w:t xml:space="preserve"> has shown that the main barrier to engagement for SME’s in the </w:t>
      </w:r>
      <w:r w:rsidR="00EF021F" w:rsidRPr="00024A60">
        <w:rPr>
          <w:rFonts w:ascii="Gill Sans MT" w:hAnsi="Gill Sans MT"/>
          <w:color w:val="7F7F7F" w:themeColor="text1" w:themeTint="80"/>
          <w:sz w:val="22"/>
          <w:szCs w:val="22"/>
        </w:rPr>
        <w:t xml:space="preserve">provision of work experience </w:t>
      </w:r>
      <w:r w:rsidR="00E8467D" w:rsidRPr="00024A60">
        <w:rPr>
          <w:rFonts w:ascii="Gill Sans MT" w:hAnsi="Gill Sans MT"/>
          <w:color w:val="7F7F7F" w:themeColor="text1" w:themeTint="80"/>
          <w:sz w:val="22"/>
          <w:szCs w:val="22"/>
        </w:rPr>
        <w:t>and</w:t>
      </w:r>
      <w:r w:rsidR="00EF021F" w:rsidRPr="00024A60">
        <w:rPr>
          <w:rFonts w:ascii="Gill Sans MT" w:hAnsi="Gill Sans MT"/>
          <w:color w:val="7F7F7F" w:themeColor="text1" w:themeTint="80"/>
          <w:sz w:val="22"/>
          <w:szCs w:val="22"/>
        </w:rPr>
        <w:t xml:space="preserve"> </w:t>
      </w:r>
      <w:r w:rsidR="003D7606" w:rsidRPr="00024A60">
        <w:rPr>
          <w:rFonts w:ascii="Gill Sans MT" w:hAnsi="Gill Sans MT"/>
          <w:color w:val="7F7F7F" w:themeColor="text1" w:themeTint="80"/>
          <w:sz w:val="22"/>
          <w:szCs w:val="22"/>
        </w:rPr>
        <w:t xml:space="preserve">Apprenticeships are </w:t>
      </w:r>
      <w:r w:rsidR="003D7606" w:rsidRPr="00024A60">
        <w:rPr>
          <w:rFonts w:ascii="Gill Sans MT" w:hAnsi="Gill Sans MT" w:cs="Tahoma"/>
          <w:color w:val="7F7F7F" w:themeColor="text1" w:themeTint="80"/>
          <w:sz w:val="22"/>
          <w:szCs w:val="22"/>
        </w:rPr>
        <w:t xml:space="preserve">time constraints and the lack of availability of staff to work with learners and apprentices. These barriers make it challenging for providers to find work experience places and apprenticeships. </w:t>
      </w:r>
      <w:r w:rsidR="00EF021F" w:rsidRPr="00024A60">
        <w:rPr>
          <w:rFonts w:ascii="Gill Sans MT" w:hAnsi="Gill Sans MT" w:cs="Tahoma"/>
          <w:color w:val="7F7F7F" w:themeColor="text1" w:themeTint="80"/>
          <w:sz w:val="22"/>
          <w:szCs w:val="22"/>
        </w:rPr>
        <w:t xml:space="preserve"> This increases the challenge of finding work experience </w:t>
      </w:r>
      <w:r w:rsidR="00E8467D" w:rsidRPr="00024A60">
        <w:rPr>
          <w:rFonts w:ascii="Gill Sans MT" w:hAnsi="Gill Sans MT" w:cs="Tahoma"/>
          <w:color w:val="7F7F7F" w:themeColor="text1" w:themeTint="80"/>
          <w:sz w:val="22"/>
          <w:szCs w:val="22"/>
        </w:rPr>
        <w:t>and</w:t>
      </w:r>
      <w:r w:rsidR="00EF021F" w:rsidRPr="00024A60">
        <w:rPr>
          <w:rFonts w:ascii="Gill Sans MT" w:hAnsi="Gill Sans MT" w:cs="Tahoma"/>
          <w:color w:val="7F7F7F" w:themeColor="text1" w:themeTint="80"/>
          <w:sz w:val="22"/>
          <w:szCs w:val="22"/>
        </w:rPr>
        <w:t xml:space="preserve"> employment opportunities for </w:t>
      </w:r>
      <w:r w:rsidR="00296F8E" w:rsidRPr="00024A60">
        <w:rPr>
          <w:rFonts w:ascii="Gill Sans MT" w:hAnsi="Gill Sans MT" w:cs="Tahoma"/>
          <w:color w:val="7F7F7F" w:themeColor="text1" w:themeTint="80"/>
          <w:sz w:val="22"/>
          <w:szCs w:val="22"/>
        </w:rPr>
        <w:t xml:space="preserve">vulnerable young people </w:t>
      </w:r>
      <w:r w:rsidR="00E8467D" w:rsidRPr="00024A60">
        <w:rPr>
          <w:rFonts w:ascii="Gill Sans MT" w:hAnsi="Gill Sans MT" w:cs="Tahoma"/>
          <w:color w:val="7F7F7F" w:themeColor="text1" w:themeTint="80"/>
          <w:sz w:val="22"/>
          <w:szCs w:val="22"/>
        </w:rPr>
        <w:t>and</w:t>
      </w:r>
      <w:r w:rsidR="00296F8E" w:rsidRPr="00024A60">
        <w:rPr>
          <w:rFonts w:ascii="Gill Sans MT" w:hAnsi="Gill Sans MT" w:cs="Tahoma"/>
          <w:color w:val="7F7F7F" w:themeColor="text1" w:themeTint="80"/>
          <w:sz w:val="22"/>
          <w:szCs w:val="22"/>
        </w:rPr>
        <w:t xml:space="preserve"> / or those with </w:t>
      </w:r>
      <w:r w:rsidR="00EF021F" w:rsidRPr="00024A60">
        <w:rPr>
          <w:rFonts w:ascii="Gill Sans MT" w:hAnsi="Gill Sans MT" w:cs="Tahoma"/>
          <w:color w:val="7F7F7F" w:themeColor="text1" w:themeTint="80"/>
          <w:sz w:val="22"/>
          <w:szCs w:val="22"/>
        </w:rPr>
        <w:t>Special Educat</w:t>
      </w:r>
      <w:r w:rsidR="004C2996" w:rsidRPr="00024A60">
        <w:rPr>
          <w:rFonts w:ascii="Gill Sans MT" w:hAnsi="Gill Sans MT" w:cs="Tahoma"/>
          <w:color w:val="7F7F7F" w:themeColor="text1" w:themeTint="80"/>
          <w:sz w:val="22"/>
          <w:szCs w:val="22"/>
        </w:rPr>
        <w:t xml:space="preserve">ional </w:t>
      </w:r>
      <w:r w:rsidR="00296F8E" w:rsidRPr="00024A60">
        <w:rPr>
          <w:rFonts w:ascii="Gill Sans MT" w:hAnsi="Gill Sans MT" w:cs="Tahoma"/>
          <w:color w:val="7F7F7F" w:themeColor="text1" w:themeTint="80"/>
          <w:sz w:val="22"/>
          <w:szCs w:val="22"/>
        </w:rPr>
        <w:t xml:space="preserve">Needs </w:t>
      </w:r>
      <w:r w:rsidR="00E8467D" w:rsidRPr="00024A60">
        <w:rPr>
          <w:rFonts w:ascii="Gill Sans MT" w:hAnsi="Gill Sans MT" w:cs="Tahoma"/>
          <w:color w:val="7F7F7F" w:themeColor="text1" w:themeTint="80"/>
          <w:sz w:val="22"/>
          <w:szCs w:val="22"/>
        </w:rPr>
        <w:t>and</w:t>
      </w:r>
      <w:r w:rsidR="00296F8E" w:rsidRPr="00024A60">
        <w:rPr>
          <w:rFonts w:ascii="Gill Sans MT" w:hAnsi="Gill Sans MT" w:cs="Tahoma"/>
          <w:color w:val="7F7F7F" w:themeColor="text1" w:themeTint="80"/>
          <w:sz w:val="22"/>
          <w:szCs w:val="22"/>
        </w:rPr>
        <w:t xml:space="preserve"> Disabilities (SEND) who may need additional support in the work place.</w:t>
      </w:r>
    </w:p>
    <w:p w14:paraId="0945D757" w14:textId="77777777" w:rsidR="00FF6E33" w:rsidRPr="00024A60" w:rsidRDefault="00FF6E33" w:rsidP="003D7606">
      <w:pPr>
        <w:pStyle w:val="Default"/>
        <w:spacing w:after="42"/>
        <w:rPr>
          <w:rFonts w:ascii="Gill Sans MT" w:hAnsi="Gill Sans MT" w:cs="Tahoma"/>
          <w:color w:val="7F7F7F" w:themeColor="text1" w:themeTint="80"/>
          <w:sz w:val="22"/>
          <w:szCs w:val="22"/>
        </w:rPr>
      </w:pPr>
    </w:p>
    <w:p w14:paraId="5762CE90" w14:textId="77777777" w:rsidR="00FF6E33" w:rsidRPr="00024A60" w:rsidRDefault="00024A60" w:rsidP="00771CF9">
      <w:pPr>
        <w:pStyle w:val="Default"/>
        <w:spacing w:after="42"/>
        <w:rPr>
          <w:rFonts w:ascii="Gill Sans MT" w:hAnsi="Gill Sans MT" w:cs="Verdana"/>
          <w:color w:val="7F7F7F" w:themeColor="text1" w:themeTint="80"/>
          <w:sz w:val="22"/>
          <w:szCs w:val="22"/>
        </w:rPr>
      </w:pPr>
      <w:r>
        <w:rPr>
          <w:rFonts w:ascii="Gill Sans MT" w:hAnsi="Gill Sans MT" w:cs="Tahoma"/>
          <w:color w:val="7F7F7F" w:themeColor="text1" w:themeTint="80"/>
          <w:sz w:val="22"/>
          <w:szCs w:val="22"/>
        </w:rPr>
        <w:t xml:space="preserve">6.6 </w:t>
      </w:r>
      <w:r w:rsidR="00FF6E33" w:rsidRPr="00024A60">
        <w:rPr>
          <w:rFonts w:ascii="Gill Sans MT" w:hAnsi="Gill Sans MT" w:cs="Tahoma"/>
          <w:color w:val="7F7F7F" w:themeColor="text1" w:themeTint="80"/>
          <w:sz w:val="22"/>
          <w:szCs w:val="22"/>
        </w:rPr>
        <w:t>Research</w:t>
      </w:r>
      <w:r w:rsidR="00FF6E33" w:rsidRPr="00024A60">
        <w:rPr>
          <w:rStyle w:val="FootnoteReference"/>
          <w:rFonts w:ascii="Gill Sans MT" w:hAnsi="Gill Sans MT" w:cs="Tahoma"/>
          <w:color w:val="7F7F7F" w:themeColor="text1" w:themeTint="80"/>
          <w:sz w:val="22"/>
          <w:szCs w:val="22"/>
        </w:rPr>
        <w:footnoteReference w:id="15"/>
      </w:r>
      <w:r w:rsidR="00FF6E33" w:rsidRPr="00024A60">
        <w:rPr>
          <w:rFonts w:ascii="Gill Sans MT" w:hAnsi="Gill Sans MT" w:cs="Tahoma"/>
          <w:color w:val="7F7F7F" w:themeColor="text1" w:themeTint="80"/>
          <w:sz w:val="22"/>
          <w:szCs w:val="22"/>
        </w:rPr>
        <w:t xml:space="preserve"> commissioned by Cornwall Council into what works when supporting young people with learning difficulties</w:t>
      </w:r>
      <w:r w:rsidR="00771CF9" w:rsidRPr="00024A60">
        <w:rPr>
          <w:rFonts w:ascii="Gill Sans MT" w:hAnsi="Gill Sans MT" w:cs="Tahoma"/>
          <w:color w:val="7F7F7F" w:themeColor="text1" w:themeTint="80"/>
          <w:sz w:val="22"/>
          <w:szCs w:val="22"/>
        </w:rPr>
        <w:t xml:space="preserve"> (LD) identified that e</w:t>
      </w:r>
      <w:r w:rsidR="00FF6E33" w:rsidRPr="00024A60">
        <w:rPr>
          <w:rFonts w:ascii="Gill Sans MT" w:hAnsi="Gill Sans MT" w:cs="Verdana"/>
          <w:color w:val="7F7F7F" w:themeColor="text1" w:themeTint="80"/>
          <w:sz w:val="22"/>
          <w:szCs w:val="22"/>
        </w:rPr>
        <w:t xml:space="preserve">mployers need educating and training about the potential of people with a disability as part of an effective workforce </w:t>
      </w:r>
      <w:r w:rsidR="00771CF9" w:rsidRPr="00024A60">
        <w:rPr>
          <w:rFonts w:ascii="Gill Sans MT" w:hAnsi="Gill Sans MT" w:cs="Verdana"/>
          <w:color w:val="7F7F7F" w:themeColor="text1" w:themeTint="80"/>
          <w:sz w:val="22"/>
          <w:szCs w:val="22"/>
        </w:rPr>
        <w:t>as a key dependency of successful models of pathways to employment for young people with LD.</w:t>
      </w:r>
    </w:p>
    <w:p w14:paraId="049B5FBB" w14:textId="77777777" w:rsidR="00771CF9" w:rsidRPr="00024A60" w:rsidRDefault="00771CF9" w:rsidP="00771CF9">
      <w:pPr>
        <w:pStyle w:val="Default"/>
        <w:spacing w:after="42"/>
        <w:rPr>
          <w:rFonts w:ascii="Gill Sans MT" w:hAnsi="Gill Sans MT" w:cs="Verdana"/>
          <w:color w:val="7F7F7F" w:themeColor="text1" w:themeTint="80"/>
          <w:sz w:val="22"/>
          <w:szCs w:val="22"/>
        </w:rPr>
      </w:pPr>
    </w:p>
    <w:p w14:paraId="57B42E3F" w14:textId="77777777" w:rsidR="00C573DE" w:rsidRPr="00024A60" w:rsidRDefault="00024A60" w:rsidP="003D7606">
      <w:pPr>
        <w:pStyle w:val="Default"/>
        <w:spacing w:after="42"/>
        <w:rPr>
          <w:rFonts w:ascii="Gill Sans MT" w:hAnsi="Gill Sans MT" w:cs="Tahoma"/>
          <w:color w:val="7F7F7F" w:themeColor="text1" w:themeTint="80"/>
          <w:sz w:val="22"/>
          <w:szCs w:val="22"/>
        </w:rPr>
      </w:pPr>
      <w:r>
        <w:rPr>
          <w:rFonts w:ascii="Gill Sans MT" w:hAnsi="Gill Sans MT" w:cs="Verdana"/>
          <w:color w:val="7F7F7F" w:themeColor="text1" w:themeTint="80"/>
          <w:sz w:val="22"/>
          <w:szCs w:val="22"/>
        </w:rPr>
        <w:t xml:space="preserve">6.7 </w:t>
      </w:r>
      <w:r w:rsidR="00771CF9" w:rsidRPr="00024A60">
        <w:rPr>
          <w:rFonts w:ascii="Gill Sans MT" w:hAnsi="Gill Sans MT" w:cs="Verdana"/>
          <w:color w:val="7F7F7F" w:themeColor="text1" w:themeTint="80"/>
          <w:sz w:val="22"/>
          <w:szCs w:val="22"/>
        </w:rPr>
        <w:t>The BASE supported employment model</w:t>
      </w:r>
      <w:r w:rsidR="00771CF9" w:rsidRPr="00024A60">
        <w:rPr>
          <w:rStyle w:val="FootnoteReference"/>
          <w:rFonts w:ascii="Gill Sans MT" w:hAnsi="Gill Sans MT" w:cs="Verdana"/>
          <w:color w:val="7F7F7F" w:themeColor="text1" w:themeTint="80"/>
          <w:sz w:val="22"/>
          <w:szCs w:val="22"/>
        </w:rPr>
        <w:footnoteReference w:id="16"/>
      </w:r>
      <w:r w:rsidR="00771CF9" w:rsidRPr="00024A60">
        <w:rPr>
          <w:rFonts w:ascii="Gill Sans MT" w:hAnsi="Gill Sans MT" w:cs="Verdana"/>
          <w:color w:val="7F7F7F" w:themeColor="text1" w:themeTint="80"/>
          <w:sz w:val="22"/>
          <w:szCs w:val="22"/>
        </w:rPr>
        <w:t xml:space="preserve"> shows that employers need close engagement to help tem overcome traditional </w:t>
      </w:r>
      <w:r w:rsidR="00771CF9" w:rsidRPr="00024A60">
        <w:rPr>
          <w:rFonts w:ascii="Gill Sans MT" w:hAnsi="Gill Sans MT"/>
          <w:color w:val="7F7F7F" w:themeColor="text1" w:themeTint="80"/>
          <w:sz w:val="22"/>
          <w:szCs w:val="22"/>
        </w:rPr>
        <w:t xml:space="preserve">recruitment and selection barriers. </w:t>
      </w:r>
      <w:r w:rsidR="00771CF9" w:rsidRPr="00024A60">
        <w:rPr>
          <w:rFonts w:ascii="Gill Sans MT" w:hAnsi="Gill Sans MT" w:cs="Tahoma"/>
          <w:color w:val="7F7F7F" w:themeColor="text1" w:themeTint="80"/>
          <w:sz w:val="22"/>
          <w:szCs w:val="22"/>
        </w:rPr>
        <w:t>Supported Employment has been successfully used as a personalised model for supporting people with significant disabilities to sec</w:t>
      </w:r>
      <w:r w:rsidR="00C573DE" w:rsidRPr="00024A60">
        <w:rPr>
          <w:rFonts w:ascii="Gill Sans MT" w:hAnsi="Gill Sans MT" w:cs="Tahoma"/>
          <w:color w:val="7F7F7F" w:themeColor="text1" w:themeTint="80"/>
          <w:sz w:val="22"/>
          <w:szCs w:val="22"/>
        </w:rPr>
        <w:t>ure and retain paid employment.</w:t>
      </w:r>
    </w:p>
    <w:p w14:paraId="365F1243" w14:textId="77777777" w:rsidR="00C573DE" w:rsidRPr="00024A60" w:rsidRDefault="00C573DE" w:rsidP="003D7606">
      <w:pPr>
        <w:pStyle w:val="Default"/>
        <w:spacing w:after="42"/>
        <w:rPr>
          <w:rFonts w:ascii="Gill Sans MT" w:hAnsi="Gill Sans MT" w:cs="Tahoma"/>
          <w:color w:val="7F7F7F" w:themeColor="text1" w:themeTint="80"/>
          <w:sz w:val="22"/>
          <w:szCs w:val="22"/>
        </w:rPr>
      </w:pPr>
    </w:p>
    <w:p w14:paraId="784C52FA" w14:textId="77777777" w:rsidR="00C573DE" w:rsidRPr="00024A60" w:rsidRDefault="00024A60" w:rsidP="003D7606">
      <w:pPr>
        <w:pStyle w:val="Default"/>
        <w:spacing w:after="42"/>
        <w:rPr>
          <w:rFonts w:ascii="Gill Sans MT" w:hAnsi="Gill Sans MT" w:cs="Tahoma"/>
          <w:color w:val="7F7F7F" w:themeColor="text1" w:themeTint="80"/>
          <w:sz w:val="22"/>
          <w:szCs w:val="22"/>
        </w:rPr>
      </w:pPr>
      <w:r>
        <w:rPr>
          <w:rFonts w:ascii="Gill Sans MT" w:hAnsi="Gill Sans MT" w:cs="Tahoma"/>
          <w:color w:val="7F7F7F" w:themeColor="text1" w:themeTint="80"/>
          <w:sz w:val="22"/>
          <w:szCs w:val="22"/>
        </w:rPr>
        <w:t xml:space="preserve">6.8 </w:t>
      </w:r>
      <w:r w:rsidR="00771CF9" w:rsidRPr="00024A60">
        <w:rPr>
          <w:rFonts w:ascii="Gill Sans MT" w:hAnsi="Gill Sans MT" w:cs="Tahoma"/>
          <w:color w:val="7F7F7F" w:themeColor="text1" w:themeTint="80"/>
          <w:sz w:val="22"/>
          <w:szCs w:val="22"/>
        </w:rPr>
        <w:t xml:space="preserve">The BASE model outlines key elements that need addressing to enable successful </w:t>
      </w:r>
      <w:r w:rsidR="00E8467D" w:rsidRPr="00024A60">
        <w:rPr>
          <w:rFonts w:ascii="Gill Sans MT" w:hAnsi="Gill Sans MT" w:cs="Tahoma"/>
          <w:color w:val="7F7F7F" w:themeColor="text1" w:themeTint="80"/>
          <w:sz w:val="22"/>
          <w:szCs w:val="22"/>
        </w:rPr>
        <w:t>and</w:t>
      </w:r>
      <w:r w:rsidR="00771CF9" w:rsidRPr="00024A60">
        <w:rPr>
          <w:rFonts w:ascii="Gill Sans MT" w:hAnsi="Gill Sans MT" w:cs="Tahoma"/>
          <w:color w:val="7F7F7F" w:themeColor="text1" w:themeTint="80"/>
          <w:sz w:val="22"/>
          <w:szCs w:val="22"/>
        </w:rPr>
        <w:t xml:space="preserve"> sustainable employment. However, supported employment </w:t>
      </w:r>
      <w:r w:rsidR="00E8467D" w:rsidRPr="00024A60">
        <w:rPr>
          <w:rFonts w:ascii="Gill Sans MT" w:hAnsi="Gill Sans MT" w:cs="Tahoma"/>
          <w:color w:val="7F7F7F" w:themeColor="text1" w:themeTint="80"/>
          <w:sz w:val="22"/>
          <w:szCs w:val="22"/>
        </w:rPr>
        <w:t>and</w:t>
      </w:r>
      <w:r w:rsidR="00771CF9" w:rsidRPr="00024A60">
        <w:rPr>
          <w:rFonts w:ascii="Gill Sans MT" w:hAnsi="Gill Sans MT" w:cs="Tahoma"/>
          <w:color w:val="7F7F7F" w:themeColor="text1" w:themeTint="80"/>
          <w:sz w:val="22"/>
          <w:szCs w:val="22"/>
        </w:rPr>
        <w:t xml:space="preserve"> access to charitable services are variable dependent on post code.  Furthermore resources to support young people with SEND into work are disjointed </w:t>
      </w:r>
      <w:r w:rsidR="00E8467D" w:rsidRPr="00024A60">
        <w:rPr>
          <w:rFonts w:ascii="Gill Sans MT" w:hAnsi="Gill Sans MT" w:cs="Tahoma"/>
          <w:color w:val="7F7F7F" w:themeColor="text1" w:themeTint="80"/>
          <w:sz w:val="22"/>
          <w:szCs w:val="22"/>
        </w:rPr>
        <w:t>and</w:t>
      </w:r>
      <w:r w:rsidR="00771CF9" w:rsidRPr="00024A60">
        <w:rPr>
          <w:rFonts w:ascii="Gill Sans MT" w:hAnsi="Gill Sans MT" w:cs="Tahoma"/>
          <w:color w:val="7F7F7F" w:themeColor="text1" w:themeTint="80"/>
          <w:sz w:val="22"/>
          <w:szCs w:val="22"/>
        </w:rPr>
        <w:t xml:space="preserve"> allocated through various initiatives / programmes with varying funding rules </w:t>
      </w:r>
      <w:r w:rsidR="00E8467D" w:rsidRPr="00024A60">
        <w:rPr>
          <w:rFonts w:ascii="Gill Sans MT" w:hAnsi="Gill Sans MT" w:cs="Tahoma"/>
          <w:color w:val="7F7F7F" w:themeColor="text1" w:themeTint="80"/>
          <w:sz w:val="22"/>
          <w:szCs w:val="22"/>
        </w:rPr>
        <w:t>and</w:t>
      </w:r>
      <w:r w:rsidR="00771CF9" w:rsidRPr="00024A60">
        <w:rPr>
          <w:rFonts w:ascii="Gill Sans MT" w:hAnsi="Gill Sans MT" w:cs="Tahoma"/>
          <w:color w:val="7F7F7F" w:themeColor="text1" w:themeTint="80"/>
          <w:sz w:val="22"/>
          <w:szCs w:val="22"/>
        </w:rPr>
        <w:t xml:space="preserve"> regulations (DWP Access to Work,  DWP Disability Confidence,  CEC High Needs Fund, LA Supported Internship Funding, Apprenticeship Funding</w:t>
      </w:r>
      <w:r w:rsidR="004C2996" w:rsidRPr="00024A60">
        <w:rPr>
          <w:rFonts w:ascii="Gill Sans MT" w:hAnsi="Gill Sans MT" w:cs="Tahoma"/>
          <w:color w:val="7F7F7F" w:themeColor="text1" w:themeTint="80"/>
          <w:sz w:val="22"/>
          <w:szCs w:val="22"/>
        </w:rPr>
        <w:t xml:space="preserve"> etc.</w:t>
      </w:r>
      <w:r w:rsidR="008150BD" w:rsidRPr="00024A60">
        <w:rPr>
          <w:rFonts w:ascii="Gill Sans MT" w:hAnsi="Gill Sans MT" w:cs="Tahoma"/>
          <w:color w:val="7F7F7F" w:themeColor="text1" w:themeTint="80"/>
          <w:sz w:val="22"/>
          <w:szCs w:val="22"/>
        </w:rPr>
        <w:t xml:space="preserve">) </w:t>
      </w:r>
      <w:r w:rsidR="00771CF9" w:rsidRPr="00024A60">
        <w:rPr>
          <w:rFonts w:ascii="Gill Sans MT" w:hAnsi="Gill Sans MT" w:cs="Tahoma"/>
          <w:color w:val="7F7F7F" w:themeColor="text1" w:themeTint="80"/>
          <w:sz w:val="22"/>
          <w:szCs w:val="22"/>
        </w:rPr>
        <w:t xml:space="preserve">which make shaping services for this cohort at a local level challenging </w:t>
      </w:r>
      <w:r w:rsidR="00E8467D" w:rsidRPr="00024A60">
        <w:rPr>
          <w:rFonts w:ascii="Gill Sans MT" w:hAnsi="Gill Sans MT" w:cs="Tahoma"/>
          <w:color w:val="7F7F7F" w:themeColor="text1" w:themeTint="80"/>
          <w:sz w:val="22"/>
          <w:szCs w:val="22"/>
        </w:rPr>
        <w:t>and</w:t>
      </w:r>
      <w:r w:rsidR="00771CF9" w:rsidRPr="00024A60">
        <w:rPr>
          <w:rFonts w:ascii="Gill Sans MT" w:hAnsi="Gill Sans MT" w:cs="Tahoma"/>
          <w:color w:val="7F7F7F" w:themeColor="text1" w:themeTint="80"/>
          <w:sz w:val="22"/>
          <w:szCs w:val="22"/>
        </w:rPr>
        <w:t xml:space="preserve"> result in ine</w:t>
      </w:r>
      <w:r w:rsidR="00E8467D" w:rsidRPr="00024A60">
        <w:rPr>
          <w:rFonts w:ascii="Gill Sans MT" w:hAnsi="Gill Sans MT" w:cs="Tahoma"/>
          <w:color w:val="7F7F7F" w:themeColor="text1" w:themeTint="80"/>
          <w:sz w:val="22"/>
          <w:szCs w:val="22"/>
        </w:rPr>
        <w:t>fficiencies.</w:t>
      </w:r>
      <w:r w:rsidR="00E8467D" w:rsidRPr="00024A60">
        <w:rPr>
          <w:rFonts w:ascii="Gill Sans MT" w:hAnsi="Gill Sans MT" w:cs="Tahoma"/>
          <w:color w:val="7F7F7F" w:themeColor="text1" w:themeTint="80"/>
          <w:sz w:val="22"/>
          <w:szCs w:val="22"/>
        </w:rPr>
        <w:br/>
      </w:r>
    </w:p>
    <w:p w14:paraId="23183B55" w14:textId="77777777" w:rsidR="007F7C8F" w:rsidRPr="00024A60" w:rsidRDefault="00024A60" w:rsidP="003D7606">
      <w:pPr>
        <w:pStyle w:val="Default"/>
        <w:spacing w:after="42"/>
        <w:rPr>
          <w:rFonts w:ascii="Gill Sans MT" w:hAnsi="Gill Sans MT" w:cs="Tahoma"/>
          <w:color w:val="7F7F7F" w:themeColor="text1" w:themeTint="80"/>
          <w:sz w:val="22"/>
          <w:szCs w:val="22"/>
        </w:rPr>
      </w:pPr>
      <w:r>
        <w:rPr>
          <w:rFonts w:ascii="Gill Sans MT" w:hAnsi="Gill Sans MT" w:cs="Tahoma"/>
          <w:color w:val="7F7F7F" w:themeColor="text1" w:themeTint="80"/>
          <w:sz w:val="22"/>
          <w:szCs w:val="22"/>
        </w:rPr>
        <w:t xml:space="preserve">6.9 </w:t>
      </w:r>
      <w:r w:rsidR="00771CF9" w:rsidRPr="00024A60">
        <w:rPr>
          <w:rFonts w:ascii="Gill Sans MT" w:hAnsi="Gill Sans MT" w:cs="Tahoma"/>
          <w:color w:val="7F7F7F" w:themeColor="text1" w:themeTint="80"/>
          <w:sz w:val="22"/>
          <w:szCs w:val="22"/>
        </w:rPr>
        <w:t xml:space="preserve">For the individuals </w:t>
      </w:r>
      <w:r w:rsidR="00E8467D" w:rsidRPr="00024A60">
        <w:rPr>
          <w:rFonts w:ascii="Gill Sans MT" w:hAnsi="Gill Sans MT" w:cs="Tahoma"/>
          <w:color w:val="7F7F7F" w:themeColor="text1" w:themeTint="80"/>
          <w:sz w:val="22"/>
          <w:szCs w:val="22"/>
        </w:rPr>
        <w:t>and</w:t>
      </w:r>
      <w:r w:rsidR="00771CF9" w:rsidRPr="00024A60">
        <w:rPr>
          <w:rFonts w:ascii="Gill Sans MT" w:hAnsi="Gill Sans MT" w:cs="Tahoma"/>
          <w:color w:val="7F7F7F" w:themeColor="text1" w:themeTint="80"/>
          <w:sz w:val="22"/>
          <w:szCs w:val="22"/>
        </w:rPr>
        <w:t xml:space="preserve"> schools, r</w:t>
      </w:r>
      <w:r w:rsidR="007F7C8F" w:rsidRPr="00024A60">
        <w:rPr>
          <w:rFonts w:ascii="Gill Sans MT" w:hAnsi="Gill Sans MT" w:cs="Tahoma"/>
          <w:color w:val="7F7F7F" w:themeColor="text1" w:themeTint="80"/>
          <w:sz w:val="22"/>
          <w:szCs w:val="22"/>
        </w:rPr>
        <w:t>eports</w:t>
      </w:r>
      <w:r w:rsidR="007F7C8F" w:rsidRPr="00024A60">
        <w:rPr>
          <w:rStyle w:val="FootnoteReference"/>
          <w:rFonts w:ascii="Gill Sans MT" w:hAnsi="Gill Sans MT" w:cs="Tahoma"/>
          <w:color w:val="7F7F7F" w:themeColor="text1" w:themeTint="80"/>
          <w:sz w:val="22"/>
          <w:szCs w:val="22"/>
        </w:rPr>
        <w:footnoteReference w:id="17"/>
      </w:r>
      <w:r w:rsidR="007F7C8F" w:rsidRPr="00024A60">
        <w:rPr>
          <w:rFonts w:ascii="Gill Sans MT" w:hAnsi="Gill Sans MT" w:cs="Tahoma"/>
          <w:color w:val="7F7F7F" w:themeColor="text1" w:themeTint="80"/>
          <w:sz w:val="22"/>
          <w:szCs w:val="22"/>
        </w:rPr>
        <w:t xml:space="preserve"> suggest that work experience for young people with SEND is a significant issue, with many young people missing out. Key barriers identified by research </w:t>
      </w:r>
      <w:r w:rsidR="007F7C8F" w:rsidRPr="00024A60">
        <w:rPr>
          <w:rStyle w:val="FootnoteReference"/>
          <w:rFonts w:ascii="Gill Sans MT" w:hAnsi="Gill Sans MT" w:cs="Tahoma"/>
          <w:color w:val="7F7F7F" w:themeColor="text1" w:themeTint="80"/>
          <w:sz w:val="22"/>
          <w:szCs w:val="22"/>
        </w:rPr>
        <w:footnoteReference w:id="18"/>
      </w:r>
      <w:r w:rsidR="007F7C8F" w:rsidRPr="00024A60">
        <w:rPr>
          <w:rFonts w:ascii="Gill Sans MT" w:hAnsi="Gill Sans MT" w:cs="Tahoma"/>
          <w:color w:val="7F7F7F" w:themeColor="text1" w:themeTint="80"/>
          <w:sz w:val="22"/>
          <w:szCs w:val="22"/>
        </w:rPr>
        <w:t xml:space="preserve"> include:  </w:t>
      </w:r>
    </w:p>
    <w:p w14:paraId="73A8DEC1" w14:textId="77777777" w:rsidR="007F7C8F" w:rsidRPr="00024A60" w:rsidRDefault="007F7C8F" w:rsidP="007F7C8F">
      <w:pPr>
        <w:pStyle w:val="Default"/>
        <w:numPr>
          <w:ilvl w:val="0"/>
          <w:numId w:val="29"/>
        </w:numPr>
        <w:spacing w:after="42"/>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identifying an appropriate/ accessible sector and occupation</w:t>
      </w:r>
    </w:p>
    <w:p w14:paraId="307678C4" w14:textId="77777777" w:rsidR="00771CF9" w:rsidRPr="00024A60" w:rsidRDefault="007F7C8F" w:rsidP="00771CF9">
      <w:pPr>
        <w:pStyle w:val="Default"/>
        <w:numPr>
          <w:ilvl w:val="0"/>
          <w:numId w:val="29"/>
        </w:numPr>
        <w:spacing w:after="42"/>
        <w:rPr>
          <w:rFonts w:ascii="Gill Sans MT" w:hAnsi="Gill Sans MT" w:cs="Tahoma"/>
          <w:color w:val="7F7F7F" w:themeColor="text1" w:themeTint="80"/>
          <w:sz w:val="22"/>
          <w:szCs w:val="22"/>
        </w:rPr>
      </w:pPr>
      <w:r w:rsidRPr="00024A60">
        <w:rPr>
          <w:rFonts w:ascii="Gill Sans MT" w:hAnsi="Gill Sans MT"/>
          <w:color w:val="7F7F7F" w:themeColor="text1" w:themeTint="80"/>
          <w:sz w:val="22"/>
          <w:szCs w:val="22"/>
        </w:rPr>
        <w:t>Issues with student take up due to ‘Lack of confidence’, ‘Fear of the unknown’ and ‘Not being work ready’.</w:t>
      </w:r>
    </w:p>
    <w:p w14:paraId="4C03CB59" w14:textId="77777777" w:rsidR="00E8467D" w:rsidRPr="00024A60" w:rsidRDefault="00E8467D" w:rsidP="00E8467D">
      <w:pPr>
        <w:pStyle w:val="Default"/>
        <w:spacing w:after="42"/>
        <w:ind w:left="720"/>
        <w:rPr>
          <w:rFonts w:ascii="Gill Sans MT" w:hAnsi="Gill Sans MT" w:cs="Tahoma"/>
          <w:color w:val="7F7F7F" w:themeColor="text1" w:themeTint="80"/>
          <w:sz w:val="22"/>
          <w:szCs w:val="22"/>
        </w:rPr>
      </w:pPr>
    </w:p>
    <w:p w14:paraId="489CEE7F" w14:textId="77777777" w:rsidR="00771CF9" w:rsidRPr="00024A60" w:rsidRDefault="00024A60" w:rsidP="00771CF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7.0 </w:t>
      </w:r>
      <w:r w:rsidR="00771CF9" w:rsidRPr="00024A60">
        <w:rPr>
          <w:rFonts w:ascii="Gill Sans MT" w:hAnsi="Gill Sans MT"/>
          <w:color w:val="7F7F7F" w:themeColor="text1" w:themeTint="80"/>
          <w:sz w:val="22"/>
          <w:szCs w:val="22"/>
        </w:rPr>
        <w:t>As outlined by the Preparing for Adulthood Pathway into Employment</w:t>
      </w:r>
      <w:r w:rsidR="00771CF9" w:rsidRPr="00024A60">
        <w:rPr>
          <w:rStyle w:val="FootnoteReference"/>
          <w:rFonts w:ascii="Gill Sans MT" w:hAnsi="Gill Sans MT"/>
          <w:color w:val="7F7F7F" w:themeColor="text1" w:themeTint="80"/>
          <w:sz w:val="22"/>
          <w:szCs w:val="22"/>
        </w:rPr>
        <w:footnoteReference w:id="19"/>
      </w:r>
      <w:r w:rsidR="00771CF9" w:rsidRPr="00024A60">
        <w:rPr>
          <w:rFonts w:ascii="Gill Sans MT" w:hAnsi="Gill Sans MT"/>
          <w:color w:val="7F7F7F" w:themeColor="text1" w:themeTint="80"/>
          <w:sz w:val="22"/>
          <w:szCs w:val="22"/>
        </w:rPr>
        <w:t xml:space="preserve"> </w:t>
      </w:r>
      <w:r w:rsidR="00E8467D" w:rsidRPr="00024A60">
        <w:rPr>
          <w:rFonts w:ascii="Gill Sans MT" w:hAnsi="Gill Sans MT"/>
          <w:color w:val="7F7F7F" w:themeColor="text1" w:themeTint="80"/>
          <w:sz w:val="22"/>
          <w:szCs w:val="22"/>
        </w:rPr>
        <w:t>and</w:t>
      </w:r>
      <w:r w:rsidR="00771CF9" w:rsidRPr="00024A60">
        <w:rPr>
          <w:rFonts w:ascii="Gill Sans MT" w:hAnsi="Gill Sans MT"/>
          <w:color w:val="7F7F7F" w:themeColor="text1" w:themeTint="80"/>
          <w:sz w:val="22"/>
          <w:szCs w:val="22"/>
        </w:rPr>
        <w:t xml:space="preserve"> BASE model, these issues cannot be addressed in isolation </w:t>
      </w:r>
      <w:r w:rsidR="00E8467D" w:rsidRPr="00024A60">
        <w:rPr>
          <w:rFonts w:ascii="Gill Sans MT" w:hAnsi="Gill Sans MT"/>
          <w:color w:val="7F7F7F" w:themeColor="text1" w:themeTint="80"/>
          <w:sz w:val="22"/>
          <w:szCs w:val="22"/>
        </w:rPr>
        <w:t>and</w:t>
      </w:r>
      <w:r w:rsidR="00771CF9" w:rsidRPr="00024A60">
        <w:rPr>
          <w:rFonts w:ascii="Gill Sans MT" w:hAnsi="Gill Sans MT"/>
          <w:color w:val="7F7F7F" w:themeColor="text1" w:themeTint="80"/>
          <w:sz w:val="22"/>
          <w:szCs w:val="22"/>
        </w:rPr>
        <w:t xml:space="preserve"> service design to support young people with SEND into employment, of which work experience is a critical part, need to </w:t>
      </w:r>
      <w:r w:rsidR="00E83B83" w:rsidRPr="00024A60">
        <w:rPr>
          <w:rFonts w:ascii="Gill Sans MT" w:hAnsi="Gill Sans MT"/>
          <w:color w:val="7F7F7F" w:themeColor="text1" w:themeTint="80"/>
          <w:sz w:val="22"/>
          <w:szCs w:val="22"/>
        </w:rPr>
        <w:t>address</w:t>
      </w:r>
      <w:r w:rsidR="00771CF9" w:rsidRPr="00024A60">
        <w:rPr>
          <w:rFonts w:ascii="Gill Sans MT" w:hAnsi="Gill Sans MT"/>
          <w:color w:val="7F7F7F" w:themeColor="text1" w:themeTint="80"/>
          <w:sz w:val="22"/>
          <w:szCs w:val="22"/>
        </w:rPr>
        <w:t xml:space="preserve"> key dependencies for the young person, family, employer </w:t>
      </w:r>
      <w:r w:rsidR="00E8467D" w:rsidRPr="00024A60">
        <w:rPr>
          <w:rFonts w:ascii="Gill Sans MT" w:hAnsi="Gill Sans MT"/>
          <w:color w:val="7F7F7F" w:themeColor="text1" w:themeTint="80"/>
          <w:sz w:val="22"/>
          <w:szCs w:val="22"/>
        </w:rPr>
        <w:t>and</w:t>
      </w:r>
      <w:r w:rsidR="00771CF9" w:rsidRPr="00024A60">
        <w:rPr>
          <w:rFonts w:ascii="Gill Sans MT" w:hAnsi="Gill Sans MT"/>
          <w:color w:val="7F7F7F" w:themeColor="text1" w:themeTint="80"/>
          <w:sz w:val="22"/>
          <w:szCs w:val="22"/>
        </w:rPr>
        <w:t xml:space="preserve"> the key organisations </w:t>
      </w:r>
      <w:r w:rsidR="00E83B83" w:rsidRPr="00024A60">
        <w:rPr>
          <w:rFonts w:ascii="Gill Sans MT" w:hAnsi="Gill Sans MT"/>
          <w:color w:val="7F7F7F" w:themeColor="text1" w:themeTint="80"/>
          <w:sz w:val="22"/>
          <w:szCs w:val="22"/>
        </w:rPr>
        <w:t xml:space="preserve">as part of the system </w:t>
      </w:r>
      <w:r w:rsidR="00771CF9" w:rsidRPr="00024A60">
        <w:rPr>
          <w:rFonts w:ascii="Gill Sans MT" w:hAnsi="Gill Sans MT"/>
          <w:color w:val="7F7F7F" w:themeColor="text1" w:themeTint="80"/>
          <w:sz w:val="22"/>
          <w:szCs w:val="22"/>
        </w:rPr>
        <w:t>that support young people along this pathway.</w:t>
      </w:r>
    </w:p>
    <w:p w14:paraId="47765DD2" w14:textId="77777777" w:rsidR="00771CF9" w:rsidRPr="00024A60" w:rsidRDefault="00771CF9" w:rsidP="00771CF9">
      <w:pPr>
        <w:pStyle w:val="Default"/>
        <w:spacing w:after="42"/>
        <w:rPr>
          <w:rFonts w:ascii="Open Sans" w:hAnsi="Open Sans"/>
          <w:color w:val="606569"/>
          <w:sz w:val="20"/>
          <w:szCs w:val="20"/>
        </w:rPr>
      </w:pPr>
    </w:p>
    <w:p w14:paraId="22FA1968" w14:textId="77777777" w:rsidR="00734749" w:rsidRPr="00024A60" w:rsidRDefault="00024A60" w:rsidP="00734749">
      <w:pPr>
        <w:pStyle w:val="Default"/>
        <w:spacing w:after="42"/>
        <w:rPr>
          <w:rFonts w:ascii="Gill Sans MT" w:hAnsi="Gill Sans MT"/>
          <w:b/>
          <w:sz w:val="22"/>
          <w:szCs w:val="22"/>
        </w:rPr>
      </w:pPr>
      <w:r>
        <w:rPr>
          <w:rFonts w:ascii="Gill Sans MT" w:hAnsi="Gill Sans MT"/>
          <w:b/>
          <w:sz w:val="22"/>
          <w:szCs w:val="22"/>
        </w:rPr>
        <w:t xml:space="preserve">8.0 </w:t>
      </w:r>
      <w:r w:rsidR="00734749" w:rsidRPr="00024A60">
        <w:rPr>
          <w:rFonts w:ascii="Gill Sans MT" w:hAnsi="Gill Sans MT"/>
          <w:b/>
          <w:sz w:val="22"/>
          <w:szCs w:val="22"/>
        </w:rPr>
        <w:t xml:space="preserve">Should the Government invest in resources to help young people find work experience independently? What would these resources ideally look like? </w:t>
      </w:r>
    </w:p>
    <w:p w14:paraId="6FAD75A2" w14:textId="77777777" w:rsidR="00193237"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8.1</w:t>
      </w:r>
      <w:r w:rsidR="00FE439A" w:rsidRPr="00024A60">
        <w:rPr>
          <w:rFonts w:ascii="Gill Sans MT" w:hAnsi="Gill Sans MT"/>
          <w:color w:val="7F7F7F" w:themeColor="text1" w:themeTint="80"/>
          <w:sz w:val="22"/>
          <w:szCs w:val="22"/>
        </w:rPr>
        <w:t>This will be increasingly important if work experience continues not to be a statutory duty</w:t>
      </w:r>
      <w:r w:rsidR="003D7606" w:rsidRPr="00024A60">
        <w:rPr>
          <w:rFonts w:ascii="Gill Sans MT" w:hAnsi="Gill Sans MT"/>
          <w:color w:val="7F7F7F" w:themeColor="text1" w:themeTint="80"/>
          <w:sz w:val="22"/>
          <w:szCs w:val="22"/>
        </w:rPr>
        <w:t xml:space="preserve"> of 11 – 16 education</w:t>
      </w:r>
      <w:r w:rsidR="00FE439A" w:rsidRPr="00024A60">
        <w:rPr>
          <w:rFonts w:ascii="Gill Sans MT" w:hAnsi="Gill Sans MT"/>
          <w:color w:val="7F7F7F" w:themeColor="text1" w:themeTint="80"/>
          <w:sz w:val="22"/>
          <w:szCs w:val="22"/>
        </w:rPr>
        <w:t xml:space="preserve">. </w:t>
      </w:r>
      <w:r w:rsidR="00193237" w:rsidRPr="00024A60">
        <w:rPr>
          <w:rFonts w:ascii="Gill Sans MT" w:hAnsi="Gill Sans MT"/>
          <w:color w:val="7F7F7F" w:themeColor="text1" w:themeTint="80"/>
          <w:sz w:val="22"/>
          <w:szCs w:val="22"/>
        </w:rPr>
        <w:t xml:space="preserve">This </w:t>
      </w:r>
      <w:r w:rsidR="003D7606" w:rsidRPr="00024A60">
        <w:rPr>
          <w:rFonts w:ascii="Gill Sans MT" w:hAnsi="Gill Sans MT"/>
          <w:color w:val="7F7F7F" w:themeColor="text1" w:themeTint="80"/>
          <w:sz w:val="22"/>
          <w:szCs w:val="22"/>
        </w:rPr>
        <w:t xml:space="preserve">approach could potentially </w:t>
      </w:r>
      <w:r w:rsidR="00E8467D" w:rsidRPr="00024A60">
        <w:rPr>
          <w:rFonts w:ascii="Gill Sans MT" w:hAnsi="Gill Sans MT"/>
          <w:color w:val="7F7F7F" w:themeColor="text1" w:themeTint="80"/>
          <w:sz w:val="22"/>
          <w:szCs w:val="22"/>
        </w:rPr>
        <w:t xml:space="preserve">be beneficial, however would suggest considering </w:t>
      </w:r>
      <w:r w:rsidR="00193237" w:rsidRPr="00024A60">
        <w:rPr>
          <w:rFonts w:ascii="Gill Sans MT" w:hAnsi="Gill Sans MT"/>
          <w:color w:val="7F7F7F" w:themeColor="text1" w:themeTint="80"/>
          <w:sz w:val="22"/>
          <w:szCs w:val="22"/>
        </w:rPr>
        <w:t xml:space="preserve">the feedback highlighted above regarding multiple layers of careers related initiatives provided by different </w:t>
      </w:r>
      <w:r w:rsidR="00FE439A" w:rsidRPr="00024A60">
        <w:rPr>
          <w:rFonts w:ascii="Gill Sans MT" w:hAnsi="Gill Sans MT"/>
          <w:color w:val="7F7F7F" w:themeColor="text1" w:themeTint="80"/>
          <w:sz w:val="22"/>
          <w:szCs w:val="22"/>
        </w:rPr>
        <w:t xml:space="preserve">organisations leading to </w:t>
      </w:r>
      <w:r w:rsidR="00193237" w:rsidRPr="00024A60">
        <w:rPr>
          <w:rFonts w:ascii="Gill Sans MT" w:hAnsi="Gill Sans MT"/>
          <w:color w:val="7F7F7F" w:themeColor="text1" w:themeTint="80"/>
          <w:sz w:val="22"/>
          <w:szCs w:val="22"/>
        </w:rPr>
        <w:t xml:space="preserve">confusion amongst </w:t>
      </w:r>
      <w:r w:rsidR="003D7606" w:rsidRPr="00024A60">
        <w:rPr>
          <w:rFonts w:ascii="Gill Sans MT" w:hAnsi="Gill Sans MT"/>
          <w:color w:val="7F7F7F" w:themeColor="text1" w:themeTint="80"/>
          <w:sz w:val="22"/>
          <w:szCs w:val="22"/>
        </w:rPr>
        <w:t xml:space="preserve">employers / disengagement. </w:t>
      </w:r>
    </w:p>
    <w:p w14:paraId="6C86B34C" w14:textId="77777777" w:rsidR="00C573DE" w:rsidRPr="00024A60" w:rsidRDefault="00C573DE" w:rsidP="00734749">
      <w:pPr>
        <w:pStyle w:val="Default"/>
        <w:spacing w:after="42"/>
        <w:rPr>
          <w:rFonts w:ascii="Gill Sans MT" w:hAnsi="Gill Sans MT"/>
          <w:color w:val="7F7F7F" w:themeColor="text1" w:themeTint="80"/>
          <w:sz w:val="22"/>
          <w:szCs w:val="22"/>
        </w:rPr>
      </w:pPr>
    </w:p>
    <w:p w14:paraId="069956BC" w14:textId="77777777" w:rsidR="00102069" w:rsidRPr="00024A60" w:rsidRDefault="00024A60" w:rsidP="0010206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8.2 </w:t>
      </w:r>
      <w:r w:rsidR="00102069" w:rsidRPr="00024A60">
        <w:rPr>
          <w:rFonts w:ascii="Gill Sans MT" w:hAnsi="Gill Sans MT"/>
          <w:color w:val="7F7F7F" w:themeColor="text1" w:themeTint="80"/>
          <w:sz w:val="22"/>
          <w:szCs w:val="22"/>
        </w:rPr>
        <w:t>Employer databases are also often seen as individual organisations commercial property (especially if they are competing in the market place e.g. provision of work experience health and safety checks) which  prevents the sharing of information which would help improve awareness of work experience opportunities and the ability of young people to seek opportunities independently.</w:t>
      </w:r>
    </w:p>
    <w:p w14:paraId="43A121F8" w14:textId="77777777" w:rsidR="008150BD" w:rsidRPr="00024A60" w:rsidRDefault="008150BD" w:rsidP="00102069">
      <w:pPr>
        <w:pStyle w:val="Default"/>
        <w:spacing w:after="42"/>
        <w:rPr>
          <w:rFonts w:ascii="Gill Sans MT" w:hAnsi="Gill Sans MT"/>
          <w:color w:val="7F7F7F" w:themeColor="text1" w:themeTint="80"/>
          <w:sz w:val="22"/>
          <w:szCs w:val="22"/>
        </w:rPr>
      </w:pPr>
    </w:p>
    <w:p w14:paraId="17A0FF5D" w14:textId="77777777" w:rsidR="00102069" w:rsidRPr="00024A60" w:rsidRDefault="00024A60" w:rsidP="0010206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8.3 </w:t>
      </w:r>
      <w:r w:rsidR="008531EB" w:rsidRPr="00024A60">
        <w:rPr>
          <w:rFonts w:ascii="Gill Sans MT" w:hAnsi="Gill Sans MT"/>
          <w:color w:val="7F7F7F" w:themeColor="text1" w:themeTint="80"/>
          <w:sz w:val="22"/>
          <w:szCs w:val="22"/>
        </w:rPr>
        <w:t>Any i</w:t>
      </w:r>
      <w:r w:rsidR="00C573DE" w:rsidRPr="00024A60">
        <w:rPr>
          <w:rFonts w:ascii="Gill Sans MT" w:hAnsi="Gill Sans MT"/>
          <w:color w:val="7F7F7F" w:themeColor="text1" w:themeTint="80"/>
          <w:sz w:val="22"/>
          <w:szCs w:val="22"/>
        </w:rPr>
        <w:t>nvestment from the government would be well placed in ins</w:t>
      </w:r>
      <w:r w:rsidR="008531EB" w:rsidRPr="00024A60">
        <w:rPr>
          <w:rFonts w:ascii="Gill Sans MT" w:hAnsi="Gill Sans MT"/>
          <w:color w:val="7F7F7F" w:themeColor="text1" w:themeTint="80"/>
          <w:sz w:val="22"/>
          <w:szCs w:val="22"/>
        </w:rPr>
        <w:t xml:space="preserve">titutions: </w:t>
      </w:r>
      <w:r w:rsidR="00C573DE" w:rsidRPr="00024A60">
        <w:rPr>
          <w:rFonts w:ascii="Gill Sans MT" w:hAnsi="Gill Sans MT"/>
          <w:color w:val="7F7F7F" w:themeColor="text1" w:themeTint="80"/>
          <w:sz w:val="22"/>
          <w:szCs w:val="22"/>
        </w:rPr>
        <w:t xml:space="preserve">schools, colleges </w:t>
      </w:r>
      <w:r w:rsidR="008150BD" w:rsidRPr="00024A60">
        <w:rPr>
          <w:rFonts w:ascii="Gill Sans MT" w:hAnsi="Gill Sans MT"/>
          <w:color w:val="7F7F7F" w:themeColor="text1" w:themeTint="80"/>
          <w:sz w:val="22"/>
          <w:szCs w:val="22"/>
        </w:rPr>
        <w:t>and</w:t>
      </w:r>
      <w:r w:rsidR="00C573DE" w:rsidRPr="00024A60">
        <w:rPr>
          <w:rFonts w:ascii="Gill Sans MT" w:hAnsi="Gill Sans MT"/>
          <w:color w:val="7F7F7F" w:themeColor="text1" w:themeTint="80"/>
          <w:sz w:val="22"/>
          <w:szCs w:val="22"/>
        </w:rPr>
        <w:t xml:space="preserve"> alternative provision to provide key liaison with employers.</w:t>
      </w:r>
      <w:r w:rsidR="008531EB" w:rsidRPr="00024A60">
        <w:rPr>
          <w:rFonts w:ascii="Gill Sans MT" w:hAnsi="Gill Sans MT"/>
          <w:color w:val="7F7F7F" w:themeColor="text1" w:themeTint="80"/>
          <w:sz w:val="22"/>
          <w:szCs w:val="22"/>
        </w:rPr>
        <w:t xml:space="preserve"> This could be achieved by redirecting / building in local flexibility of the current CEC EAN investment </w:t>
      </w:r>
      <w:r w:rsidR="008150BD" w:rsidRPr="00024A60">
        <w:rPr>
          <w:rFonts w:ascii="Gill Sans MT" w:hAnsi="Gill Sans MT"/>
          <w:color w:val="7F7F7F" w:themeColor="text1" w:themeTint="80"/>
          <w:sz w:val="22"/>
          <w:szCs w:val="22"/>
        </w:rPr>
        <w:t>and</w:t>
      </w:r>
      <w:r w:rsidR="008531EB" w:rsidRPr="00024A60">
        <w:rPr>
          <w:rFonts w:ascii="Gill Sans MT" w:hAnsi="Gill Sans MT"/>
          <w:color w:val="7F7F7F" w:themeColor="text1" w:themeTint="80"/>
          <w:sz w:val="22"/>
          <w:szCs w:val="22"/>
        </w:rPr>
        <w:t xml:space="preserve"> wider funding streams</w:t>
      </w:r>
      <w:r w:rsidR="00102069" w:rsidRPr="00024A60">
        <w:rPr>
          <w:rFonts w:ascii="Gill Sans MT" w:hAnsi="Gill Sans MT"/>
          <w:color w:val="7F7F7F" w:themeColor="text1" w:themeTint="80"/>
          <w:sz w:val="22"/>
          <w:szCs w:val="22"/>
        </w:rPr>
        <w:t xml:space="preserve">. Government should consider how any investment in existing or new resources strengthen the emphasis on the value of soft skills </w:t>
      </w:r>
      <w:r w:rsidR="008150BD" w:rsidRPr="00024A60">
        <w:rPr>
          <w:rFonts w:ascii="Gill Sans MT" w:hAnsi="Gill Sans MT"/>
          <w:color w:val="7F7F7F" w:themeColor="text1" w:themeTint="80"/>
          <w:sz w:val="22"/>
          <w:szCs w:val="22"/>
        </w:rPr>
        <w:t>and</w:t>
      </w:r>
      <w:r w:rsidR="00102069" w:rsidRPr="00024A60">
        <w:rPr>
          <w:rFonts w:ascii="Gill Sans MT" w:hAnsi="Gill Sans MT"/>
          <w:color w:val="7F7F7F" w:themeColor="text1" w:themeTint="80"/>
          <w:sz w:val="22"/>
          <w:szCs w:val="22"/>
        </w:rPr>
        <w:t xml:space="preserve"> character development through work experience opportunities alongside technical acquisition. </w:t>
      </w:r>
    </w:p>
    <w:p w14:paraId="16714537" w14:textId="77777777" w:rsidR="00102069" w:rsidRPr="00024A60" w:rsidRDefault="00102069" w:rsidP="00734749">
      <w:pPr>
        <w:pStyle w:val="Default"/>
        <w:spacing w:after="42"/>
        <w:rPr>
          <w:rFonts w:ascii="Gill Sans MT" w:hAnsi="Gill Sans MT"/>
          <w:color w:val="7F7F7F" w:themeColor="text1" w:themeTint="80"/>
          <w:sz w:val="22"/>
          <w:szCs w:val="22"/>
        </w:rPr>
      </w:pPr>
    </w:p>
    <w:p w14:paraId="12790BD3" w14:textId="77777777" w:rsidR="00C573DE"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8.4 </w:t>
      </w:r>
      <w:r w:rsidR="00C573DE" w:rsidRPr="00024A60">
        <w:rPr>
          <w:rFonts w:ascii="Gill Sans MT" w:hAnsi="Gill Sans MT"/>
          <w:color w:val="7F7F7F" w:themeColor="text1" w:themeTint="80"/>
          <w:sz w:val="22"/>
          <w:szCs w:val="22"/>
        </w:rPr>
        <w:t xml:space="preserve">Impartial, timely, accessible </w:t>
      </w:r>
      <w:r w:rsidR="008150BD" w:rsidRPr="00024A60">
        <w:rPr>
          <w:rFonts w:ascii="Gill Sans MT" w:hAnsi="Gill Sans MT"/>
          <w:color w:val="7F7F7F" w:themeColor="text1" w:themeTint="80"/>
          <w:sz w:val="22"/>
          <w:szCs w:val="22"/>
        </w:rPr>
        <w:t>and</w:t>
      </w:r>
      <w:r w:rsidR="00C573DE" w:rsidRPr="00024A60">
        <w:rPr>
          <w:rFonts w:ascii="Gill Sans MT" w:hAnsi="Gill Sans MT"/>
          <w:color w:val="7F7F7F" w:themeColor="text1" w:themeTint="80"/>
          <w:sz w:val="22"/>
          <w:szCs w:val="22"/>
        </w:rPr>
        <w:t xml:space="preserve"> accurate Labour Market Information (LMI) resources that demonstrate a thorough understanding of industry sectors </w:t>
      </w:r>
      <w:r w:rsidR="008150BD" w:rsidRPr="00024A60">
        <w:rPr>
          <w:rFonts w:ascii="Gill Sans MT" w:hAnsi="Gill Sans MT"/>
          <w:color w:val="7F7F7F" w:themeColor="text1" w:themeTint="80"/>
          <w:sz w:val="22"/>
          <w:szCs w:val="22"/>
        </w:rPr>
        <w:t>and</w:t>
      </w:r>
      <w:r w:rsidR="00C573DE" w:rsidRPr="00024A60">
        <w:rPr>
          <w:rFonts w:ascii="Gill Sans MT" w:hAnsi="Gill Sans MT"/>
          <w:color w:val="7F7F7F" w:themeColor="text1" w:themeTint="80"/>
          <w:sz w:val="22"/>
          <w:szCs w:val="22"/>
        </w:rPr>
        <w:t xml:space="preserve"> link to work experience opportunities in a local area could be of significant benefit. </w:t>
      </w:r>
      <w:r w:rsidR="008531EB" w:rsidRPr="00024A60">
        <w:rPr>
          <w:rFonts w:ascii="Gill Sans MT" w:hAnsi="Gill Sans MT"/>
          <w:color w:val="7F7F7F" w:themeColor="text1" w:themeTint="80"/>
          <w:sz w:val="22"/>
          <w:szCs w:val="22"/>
        </w:rPr>
        <w:t>In some instances</w:t>
      </w:r>
      <w:r w:rsidR="00C573DE" w:rsidRPr="00024A60">
        <w:rPr>
          <w:rFonts w:ascii="Gill Sans MT" w:hAnsi="Gill Sans MT"/>
          <w:color w:val="7F7F7F" w:themeColor="text1" w:themeTint="80"/>
          <w:sz w:val="22"/>
          <w:szCs w:val="22"/>
        </w:rPr>
        <w:t xml:space="preserve"> industry guidance is misaligned</w:t>
      </w:r>
      <w:r w:rsidR="00102069" w:rsidRPr="00024A60">
        <w:rPr>
          <w:rFonts w:ascii="Gill Sans MT" w:hAnsi="Gill Sans MT"/>
          <w:color w:val="7F7F7F" w:themeColor="text1" w:themeTint="80"/>
          <w:sz w:val="22"/>
          <w:szCs w:val="22"/>
        </w:rPr>
        <w:t xml:space="preserve">, </w:t>
      </w:r>
      <w:r w:rsidR="00C573DE" w:rsidRPr="00024A60">
        <w:rPr>
          <w:rFonts w:ascii="Gill Sans MT" w:hAnsi="Gill Sans MT"/>
          <w:color w:val="7F7F7F" w:themeColor="text1" w:themeTint="80"/>
          <w:sz w:val="22"/>
          <w:szCs w:val="22"/>
        </w:rPr>
        <w:t>in t</w:t>
      </w:r>
      <w:r w:rsidR="008531EB" w:rsidRPr="00024A60">
        <w:rPr>
          <w:rFonts w:ascii="Gill Sans MT" w:hAnsi="Gill Sans MT"/>
          <w:color w:val="7F7F7F" w:themeColor="text1" w:themeTint="80"/>
          <w:sz w:val="22"/>
          <w:szCs w:val="22"/>
        </w:rPr>
        <w:t>he creative sector for example to contemporary industry</w:t>
      </w:r>
      <w:r w:rsidR="00102069" w:rsidRPr="00024A60">
        <w:rPr>
          <w:rFonts w:ascii="Gill Sans MT" w:hAnsi="Gill Sans MT"/>
          <w:color w:val="7F7F7F" w:themeColor="text1" w:themeTint="80"/>
          <w:sz w:val="22"/>
          <w:szCs w:val="22"/>
        </w:rPr>
        <w:t>.</w:t>
      </w:r>
      <w:r w:rsidR="008531EB" w:rsidRPr="00024A60">
        <w:rPr>
          <w:rFonts w:ascii="Gill Sans MT" w:hAnsi="Gill Sans MT"/>
          <w:color w:val="7F7F7F" w:themeColor="text1" w:themeTint="80"/>
          <w:sz w:val="22"/>
          <w:szCs w:val="22"/>
        </w:rPr>
        <w:t xml:space="preserve"> </w:t>
      </w:r>
      <w:r w:rsidR="00E618E8" w:rsidRPr="00024A60">
        <w:rPr>
          <w:rFonts w:ascii="Gill Sans MT" w:hAnsi="Gill Sans MT"/>
          <w:color w:val="7F7F7F" w:themeColor="text1" w:themeTint="80"/>
          <w:sz w:val="22"/>
          <w:szCs w:val="22"/>
        </w:rPr>
        <w:t xml:space="preserve">Neither do some existing LMI resources reflect local or regional trends but are based on a national picture. Ensuring those individuals who are providing personal guidance to young people in a local area have appropriate CPD in accurate LMI is also crucial.   </w:t>
      </w:r>
    </w:p>
    <w:p w14:paraId="48C76403" w14:textId="77777777" w:rsidR="00C573DE" w:rsidRPr="00024A60" w:rsidRDefault="00C573DE" w:rsidP="00734749">
      <w:pPr>
        <w:pStyle w:val="Default"/>
        <w:spacing w:after="42"/>
        <w:rPr>
          <w:rFonts w:ascii="Gill Sans MT" w:hAnsi="Gill Sans MT"/>
          <w:color w:val="7F7F7F" w:themeColor="text1" w:themeTint="80"/>
          <w:sz w:val="22"/>
          <w:szCs w:val="22"/>
        </w:rPr>
      </w:pPr>
    </w:p>
    <w:p w14:paraId="24549012" w14:textId="77777777" w:rsidR="00FE439A"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8.5 </w:t>
      </w:r>
      <w:r w:rsidR="00FE439A" w:rsidRPr="00024A60">
        <w:rPr>
          <w:rFonts w:ascii="Gill Sans MT" w:hAnsi="Gill Sans MT"/>
          <w:color w:val="7F7F7F" w:themeColor="text1" w:themeTint="80"/>
          <w:sz w:val="22"/>
          <w:szCs w:val="22"/>
        </w:rPr>
        <w:t xml:space="preserve">Advice </w:t>
      </w:r>
      <w:r w:rsidR="00E8467D" w:rsidRPr="00024A60">
        <w:rPr>
          <w:rFonts w:ascii="Gill Sans MT" w:hAnsi="Gill Sans MT"/>
          <w:color w:val="7F7F7F" w:themeColor="text1" w:themeTint="80"/>
          <w:sz w:val="22"/>
          <w:szCs w:val="22"/>
        </w:rPr>
        <w:t>and</w:t>
      </w:r>
      <w:r w:rsidR="00FE439A" w:rsidRPr="00024A60">
        <w:rPr>
          <w:rFonts w:ascii="Gill Sans MT" w:hAnsi="Gill Sans MT"/>
          <w:color w:val="7F7F7F" w:themeColor="text1" w:themeTint="80"/>
          <w:sz w:val="22"/>
          <w:szCs w:val="22"/>
        </w:rPr>
        <w:t xml:space="preserve"> guidance would need to be made available to young people </w:t>
      </w:r>
      <w:r w:rsidR="00E8467D" w:rsidRPr="00024A60">
        <w:rPr>
          <w:rFonts w:ascii="Gill Sans MT" w:hAnsi="Gill Sans MT"/>
          <w:color w:val="7F7F7F" w:themeColor="text1" w:themeTint="80"/>
          <w:sz w:val="22"/>
          <w:szCs w:val="22"/>
        </w:rPr>
        <w:t>and</w:t>
      </w:r>
      <w:r w:rsidR="00FE439A" w:rsidRPr="00024A60">
        <w:rPr>
          <w:rFonts w:ascii="Gill Sans MT" w:hAnsi="Gill Sans MT"/>
          <w:color w:val="7F7F7F" w:themeColor="text1" w:themeTint="80"/>
          <w:sz w:val="22"/>
          <w:szCs w:val="22"/>
        </w:rPr>
        <w:t xml:space="preserve"> parents to ensure health </w:t>
      </w:r>
      <w:r w:rsidR="00E8467D" w:rsidRPr="00024A60">
        <w:rPr>
          <w:rFonts w:ascii="Gill Sans MT" w:hAnsi="Gill Sans MT"/>
          <w:color w:val="7F7F7F" w:themeColor="text1" w:themeTint="80"/>
          <w:sz w:val="22"/>
          <w:szCs w:val="22"/>
        </w:rPr>
        <w:t>and</w:t>
      </w:r>
      <w:r w:rsidR="00FE439A" w:rsidRPr="00024A60">
        <w:rPr>
          <w:rFonts w:ascii="Gill Sans MT" w:hAnsi="Gill Sans MT"/>
          <w:color w:val="7F7F7F" w:themeColor="text1" w:themeTint="80"/>
          <w:sz w:val="22"/>
          <w:szCs w:val="22"/>
        </w:rPr>
        <w:t xml:space="preserve"> safety </w:t>
      </w:r>
      <w:r w:rsidR="00E8467D" w:rsidRPr="00024A60">
        <w:rPr>
          <w:rFonts w:ascii="Gill Sans MT" w:hAnsi="Gill Sans MT"/>
          <w:color w:val="7F7F7F" w:themeColor="text1" w:themeTint="80"/>
          <w:sz w:val="22"/>
          <w:szCs w:val="22"/>
        </w:rPr>
        <w:t>and</w:t>
      </w:r>
      <w:r w:rsidR="00FE439A" w:rsidRPr="00024A60">
        <w:rPr>
          <w:rFonts w:ascii="Gill Sans MT" w:hAnsi="Gill Sans MT"/>
          <w:color w:val="7F7F7F" w:themeColor="text1" w:themeTint="80"/>
          <w:sz w:val="22"/>
          <w:szCs w:val="22"/>
        </w:rPr>
        <w:t xml:space="preserve"> safeguarding needs are addressed.</w:t>
      </w:r>
      <w:r w:rsidR="00C573DE" w:rsidRPr="00024A60">
        <w:rPr>
          <w:rFonts w:ascii="Gill Sans MT" w:hAnsi="Gill Sans MT"/>
          <w:color w:val="7F7F7F" w:themeColor="text1" w:themeTint="80"/>
          <w:sz w:val="22"/>
          <w:szCs w:val="22"/>
        </w:rPr>
        <w:t xml:space="preserve"> </w:t>
      </w:r>
    </w:p>
    <w:p w14:paraId="5B27D93B" w14:textId="77777777" w:rsidR="00FE439A" w:rsidRPr="00024A60" w:rsidRDefault="00FE439A" w:rsidP="00734749">
      <w:pPr>
        <w:pStyle w:val="Default"/>
        <w:spacing w:after="42"/>
        <w:rPr>
          <w:rFonts w:ascii="Gill Sans MT" w:hAnsi="Gill Sans MT"/>
          <w:color w:val="7F7F7F" w:themeColor="text1" w:themeTint="80"/>
          <w:sz w:val="22"/>
          <w:szCs w:val="22"/>
        </w:rPr>
      </w:pPr>
    </w:p>
    <w:p w14:paraId="22C58C58" w14:textId="77777777" w:rsidR="00A7721C" w:rsidRPr="00024A60" w:rsidRDefault="00024A60" w:rsidP="00734749">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8.6 </w:t>
      </w:r>
      <w:r w:rsidR="00FE439A" w:rsidRPr="00024A60">
        <w:rPr>
          <w:rFonts w:ascii="Gill Sans MT" w:hAnsi="Gill Sans MT"/>
          <w:color w:val="7F7F7F" w:themeColor="text1" w:themeTint="80"/>
          <w:sz w:val="22"/>
          <w:szCs w:val="22"/>
        </w:rPr>
        <w:t xml:space="preserve">It would be important to consider how additional support would be provided to young people </w:t>
      </w:r>
      <w:r w:rsidR="00E8467D" w:rsidRPr="00024A60">
        <w:rPr>
          <w:rFonts w:ascii="Gill Sans MT" w:hAnsi="Gill Sans MT"/>
          <w:color w:val="7F7F7F" w:themeColor="text1" w:themeTint="80"/>
          <w:sz w:val="22"/>
          <w:szCs w:val="22"/>
        </w:rPr>
        <w:t>and</w:t>
      </w:r>
      <w:r w:rsidR="00FE439A" w:rsidRPr="00024A60">
        <w:rPr>
          <w:rFonts w:ascii="Gill Sans MT" w:hAnsi="Gill Sans MT"/>
          <w:color w:val="7F7F7F" w:themeColor="text1" w:themeTint="80"/>
          <w:sz w:val="22"/>
          <w:szCs w:val="22"/>
        </w:rPr>
        <w:t xml:space="preserve"> families in vulnerable groups who may lack the confidence, contacts, understanding of labour market </w:t>
      </w:r>
      <w:r w:rsidR="00E8467D" w:rsidRPr="00024A60">
        <w:rPr>
          <w:rFonts w:ascii="Gill Sans MT" w:hAnsi="Gill Sans MT"/>
          <w:color w:val="7F7F7F" w:themeColor="text1" w:themeTint="80"/>
          <w:sz w:val="22"/>
          <w:szCs w:val="22"/>
        </w:rPr>
        <w:t>etc.</w:t>
      </w:r>
      <w:r w:rsidR="00FE439A" w:rsidRPr="00024A60">
        <w:rPr>
          <w:rFonts w:ascii="Gill Sans MT" w:hAnsi="Gill Sans MT"/>
          <w:color w:val="7F7F7F" w:themeColor="text1" w:themeTint="80"/>
          <w:sz w:val="22"/>
          <w:szCs w:val="22"/>
        </w:rPr>
        <w:t xml:space="preserve"> to source work experience independ</w:t>
      </w:r>
      <w:r w:rsidR="00E8467D" w:rsidRPr="00024A60">
        <w:rPr>
          <w:rFonts w:ascii="Gill Sans MT" w:hAnsi="Gill Sans MT"/>
          <w:color w:val="7F7F7F" w:themeColor="text1" w:themeTint="80"/>
          <w:sz w:val="22"/>
          <w:szCs w:val="22"/>
        </w:rPr>
        <w:t>en</w:t>
      </w:r>
      <w:r w:rsidR="00FE439A" w:rsidRPr="00024A60">
        <w:rPr>
          <w:rFonts w:ascii="Gill Sans MT" w:hAnsi="Gill Sans MT"/>
          <w:color w:val="7F7F7F" w:themeColor="text1" w:themeTint="80"/>
          <w:sz w:val="22"/>
          <w:szCs w:val="22"/>
        </w:rPr>
        <w:t>tly. As highlighted in t</w:t>
      </w:r>
      <w:r w:rsidR="00296F8E" w:rsidRPr="00024A60">
        <w:rPr>
          <w:rFonts w:ascii="Gill Sans MT" w:hAnsi="Gill Sans MT"/>
          <w:color w:val="7F7F7F" w:themeColor="text1" w:themeTint="80"/>
          <w:sz w:val="22"/>
          <w:szCs w:val="22"/>
        </w:rPr>
        <w:t xml:space="preserve">he research above social class </w:t>
      </w:r>
      <w:r w:rsidR="00EF021F" w:rsidRPr="00024A60">
        <w:rPr>
          <w:rFonts w:ascii="Gill Sans MT" w:hAnsi="Gill Sans MT"/>
          <w:color w:val="7F7F7F" w:themeColor="text1" w:themeTint="80"/>
          <w:sz w:val="22"/>
          <w:szCs w:val="22"/>
        </w:rPr>
        <w:t>is seen to play a r</w:t>
      </w:r>
      <w:r w:rsidR="00A7721C" w:rsidRPr="00024A60">
        <w:rPr>
          <w:rFonts w:ascii="Gill Sans MT" w:hAnsi="Gill Sans MT"/>
          <w:color w:val="7F7F7F" w:themeColor="text1" w:themeTint="80"/>
          <w:sz w:val="22"/>
          <w:szCs w:val="22"/>
        </w:rPr>
        <w:t>ole in patterns of work experience.</w:t>
      </w:r>
      <w:r w:rsidR="00296F8E" w:rsidRPr="00024A60">
        <w:rPr>
          <w:rFonts w:ascii="Gill Sans MT" w:hAnsi="Gill Sans MT"/>
          <w:color w:val="7F7F7F" w:themeColor="text1" w:themeTint="80"/>
          <w:sz w:val="22"/>
          <w:szCs w:val="22"/>
        </w:rPr>
        <w:t xml:space="preserve"> A research report by the Education </w:t>
      </w:r>
      <w:r w:rsidR="00E8467D" w:rsidRPr="00024A60">
        <w:rPr>
          <w:rFonts w:ascii="Gill Sans MT" w:hAnsi="Gill Sans MT"/>
          <w:color w:val="7F7F7F" w:themeColor="text1" w:themeTint="80"/>
          <w:sz w:val="22"/>
          <w:szCs w:val="22"/>
        </w:rPr>
        <w:t>and</w:t>
      </w:r>
      <w:r w:rsidR="00296F8E" w:rsidRPr="00024A60">
        <w:rPr>
          <w:rFonts w:ascii="Gill Sans MT" w:hAnsi="Gill Sans MT"/>
          <w:color w:val="7F7F7F" w:themeColor="text1" w:themeTint="80"/>
          <w:sz w:val="22"/>
          <w:szCs w:val="22"/>
        </w:rPr>
        <w:t xml:space="preserve"> Employers Taskforce </w:t>
      </w:r>
      <w:r w:rsidR="00E8467D" w:rsidRPr="00024A60">
        <w:rPr>
          <w:rFonts w:ascii="Gill Sans MT" w:hAnsi="Gill Sans MT"/>
          <w:color w:val="7F7F7F" w:themeColor="text1" w:themeTint="80"/>
          <w:sz w:val="22"/>
          <w:szCs w:val="22"/>
        </w:rPr>
        <w:t>and</w:t>
      </w:r>
      <w:r w:rsidR="00296F8E" w:rsidRPr="00024A60">
        <w:rPr>
          <w:rFonts w:ascii="Gill Sans MT" w:hAnsi="Gill Sans MT"/>
          <w:color w:val="7F7F7F" w:themeColor="text1" w:themeTint="80"/>
          <w:sz w:val="22"/>
          <w:szCs w:val="22"/>
        </w:rPr>
        <w:t xml:space="preserve"> CIPD</w:t>
      </w:r>
      <w:r w:rsidR="00296F8E" w:rsidRPr="00024A60">
        <w:rPr>
          <w:rStyle w:val="FootnoteReference"/>
          <w:rFonts w:ascii="Gill Sans MT" w:hAnsi="Gill Sans MT"/>
          <w:color w:val="7F7F7F" w:themeColor="text1" w:themeTint="80"/>
          <w:sz w:val="22"/>
          <w:szCs w:val="22"/>
        </w:rPr>
        <w:footnoteReference w:id="20"/>
      </w:r>
      <w:r w:rsidR="00296F8E" w:rsidRPr="00024A60">
        <w:rPr>
          <w:rFonts w:ascii="Gill Sans MT" w:hAnsi="Gill Sans MT"/>
          <w:color w:val="7F7F7F" w:themeColor="text1" w:themeTint="80"/>
          <w:sz w:val="22"/>
          <w:szCs w:val="22"/>
        </w:rPr>
        <w:t xml:space="preserve"> demonstrated that half of placements are found by young people or by their families </w:t>
      </w:r>
      <w:r w:rsidR="00E83B83" w:rsidRPr="00024A60">
        <w:rPr>
          <w:rFonts w:ascii="Gill Sans MT" w:hAnsi="Gill Sans MT"/>
          <w:color w:val="7F7F7F" w:themeColor="text1" w:themeTint="80"/>
          <w:sz w:val="22"/>
          <w:szCs w:val="22"/>
        </w:rPr>
        <w:t>using</w:t>
      </w:r>
      <w:r w:rsidR="00296F8E" w:rsidRPr="00024A60">
        <w:rPr>
          <w:rFonts w:ascii="Gill Sans MT" w:hAnsi="Gill Sans MT"/>
          <w:color w:val="7F7F7F" w:themeColor="text1" w:themeTint="80"/>
          <w:sz w:val="22"/>
          <w:szCs w:val="22"/>
        </w:rPr>
        <w:t xml:space="preserve"> largely existing social networks.</w:t>
      </w:r>
    </w:p>
    <w:p w14:paraId="0FA5D2A1" w14:textId="77777777" w:rsidR="00734749" w:rsidRPr="00024A60" w:rsidRDefault="00FE439A" w:rsidP="00734749">
      <w:pPr>
        <w:pStyle w:val="Default"/>
        <w:spacing w:after="42"/>
        <w:rPr>
          <w:rFonts w:ascii="Gill Sans MT" w:hAnsi="Gill Sans MT"/>
          <w:color w:val="1F497D" w:themeColor="text2"/>
          <w:sz w:val="22"/>
          <w:szCs w:val="22"/>
        </w:rPr>
      </w:pPr>
      <w:r w:rsidRPr="00024A60">
        <w:rPr>
          <w:rFonts w:ascii="Gill Sans MT" w:hAnsi="Gill Sans MT"/>
          <w:color w:val="1F497D" w:themeColor="text2"/>
          <w:sz w:val="22"/>
          <w:szCs w:val="22"/>
        </w:rPr>
        <w:t xml:space="preserve"> </w:t>
      </w:r>
    </w:p>
    <w:p w14:paraId="678E28FA" w14:textId="77777777" w:rsidR="00734749" w:rsidRPr="00024A60" w:rsidRDefault="00024A60" w:rsidP="00734749">
      <w:pPr>
        <w:pStyle w:val="Default"/>
        <w:spacing w:after="42"/>
        <w:rPr>
          <w:rFonts w:ascii="Gill Sans MT" w:hAnsi="Gill Sans MT"/>
          <w:b/>
          <w:sz w:val="22"/>
          <w:szCs w:val="22"/>
        </w:rPr>
      </w:pPr>
      <w:r>
        <w:rPr>
          <w:rFonts w:ascii="Gill Sans MT" w:hAnsi="Gill Sans MT"/>
          <w:b/>
          <w:sz w:val="22"/>
          <w:szCs w:val="22"/>
        </w:rPr>
        <w:t xml:space="preserve">9.0 </w:t>
      </w:r>
      <w:r w:rsidR="00734749" w:rsidRPr="00024A60">
        <w:rPr>
          <w:rFonts w:ascii="Gill Sans MT" w:hAnsi="Gill Sans MT"/>
          <w:b/>
          <w:sz w:val="22"/>
          <w:szCs w:val="22"/>
        </w:rPr>
        <w:t xml:space="preserve">How could private and third sector organisations be better supported and encouraged to help young people access quality work experience? </w:t>
      </w:r>
    </w:p>
    <w:p w14:paraId="53C6EB64" w14:textId="77777777" w:rsidR="00FC16B8" w:rsidRPr="00024A60" w:rsidRDefault="00024A60" w:rsidP="00A44AB2">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9.1 </w:t>
      </w:r>
      <w:r w:rsidR="00A44AB2" w:rsidRPr="00024A60">
        <w:rPr>
          <w:rFonts w:ascii="Gill Sans MT" w:hAnsi="Gill Sans MT"/>
          <w:color w:val="7F7F7F" w:themeColor="text1" w:themeTint="80"/>
          <w:sz w:val="22"/>
          <w:szCs w:val="22"/>
        </w:rPr>
        <w:t xml:space="preserve">In light of the resource </w:t>
      </w:r>
      <w:r w:rsidR="008150BD" w:rsidRPr="00024A60">
        <w:rPr>
          <w:rFonts w:ascii="Gill Sans MT" w:hAnsi="Gill Sans MT"/>
          <w:color w:val="7F7F7F" w:themeColor="text1" w:themeTint="80"/>
          <w:sz w:val="22"/>
          <w:szCs w:val="22"/>
        </w:rPr>
        <w:t>and</w:t>
      </w:r>
      <w:r w:rsidR="00A44AB2" w:rsidRPr="00024A60">
        <w:rPr>
          <w:rFonts w:ascii="Gill Sans MT" w:hAnsi="Gill Sans MT"/>
          <w:color w:val="7F7F7F" w:themeColor="text1" w:themeTint="80"/>
          <w:sz w:val="22"/>
          <w:szCs w:val="22"/>
        </w:rPr>
        <w:t xml:space="preserve"> time constraints experienced by the private sector, the provision of work experience opportunities need</w:t>
      </w:r>
      <w:r w:rsidR="00FC16B8" w:rsidRPr="00024A60">
        <w:rPr>
          <w:rFonts w:ascii="Gill Sans MT" w:hAnsi="Gill Sans MT"/>
          <w:color w:val="7F7F7F" w:themeColor="text1" w:themeTint="80"/>
          <w:sz w:val="22"/>
          <w:szCs w:val="22"/>
        </w:rPr>
        <w:t>s</w:t>
      </w:r>
      <w:r w:rsidR="00A44AB2" w:rsidRPr="00024A60">
        <w:rPr>
          <w:rFonts w:ascii="Gill Sans MT" w:hAnsi="Gill Sans MT"/>
          <w:color w:val="7F7F7F" w:themeColor="text1" w:themeTint="80"/>
          <w:sz w:val="22"/>
          <w:szCs w:val="22"/>
        </w:rPr>
        <w:t xml:space="preserve"> to be made as simple as possible. Improving information available to employers via Growth Hubs</w:t>
      </w:r>
      <w:r w:rsidR="00A44AB2" w:rsidRPr="00024A60">
        <w:rPr>
          <w:rStyle w:val="FootnoteReference"/>
          <w:rFonts w:ascii="Gill Sans MT" w:hAnsi="Gill Sans MT"/>
          <w:color w:val="7F7F7F" w:themeColor="text1" w:themeTint="80"/>
          <w:sz w:val="22"/>
          <w:szCs w:val="22"/>
        </w:rPr>
        <w:footnoteReference w:id="21"/>
      </w:r>
      <w:r w:rsidR="00A44AB2" w:rsidRPr="00024A60">
        <w:rPr>
          <w:rFonts w:ascii="Gill Sans MT" w:hAnsi="Gill Sans MT"/>
          <w:color w:val="7F7F7F" w:themeColor="text1" w:themeTint="80"/>
          <w:sz w:val="22"/>
          <w:szCs w:val="22"/>
        </w:rPr>
        <w:t xml:space="preserve"> as single points of advice for business support could be of benefit.</w:t>
      </w:r>
      <w:r w:rsidR="0044452D" w:rsidRPr="00024A60">
        <w:rPr>
          <w:rFonts w:ascii="Gill Sans MT" w:hAnsi="Gill Sans MT"/>
          <w:color w:val="7F7F7F" w:themeColor="text1" w:themeTint="80"/>
          <w:sz w:val="22"/>
          <w:szCs w:val="22"/>
        </w:rPr>
        <w:t xml:space="preserve"> </w:t>
      </w:r>
    </w:p>
    <w:p w14:paraId="11413CBD" w14:textId="77777777" w:rsidR="0044452D" w:rsidRPr="00024A60" w:rsidRDefault="0044452D" w:rsidP="00A44AB2">
      <w:pPr>
        <w:pStyle w:val="Default"/>
        <w:spacing w:after="42"/>
        <w:rPr>
          <w:rFonts w:ascii="Gill Sans MT" w:hAnsi="Gill Sans MT"/>
          <w:color w:val="7F7F7F" w:themeColor="text1" w:themeTint="80"/>
          <w:sz w:val="22"/>
          <w:szCs w:val="22"/>
        </w:rPr>
      </w:pPr>
    </w:p>
    <w:p w14:paraId="0EC3D73C" w14:textId="77777777" w:rsidR="00BA61E7" w:rsidRPr="00024A60" w:rsidRDefault="00024A60" w:rsidP="0044452D">
      <w:pPr>
        <w:pStyle w:val="Default"/>
        <w:spacing w:after="42"/>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9.2 </w:t>
      </w:r>
      <w:r w:rsidR="00A44AB2" w:rsidRPr="00024A60">
        <w:rPr>
          <w:rFonts w:ascii="Gill Sans MT" w:hAnsi="Gill Sans MT"/>
          <w:color w:val="7F7F7F" w:themeColor="text1" w:themeTint="80"/>
          <w:sz w:val="22"/>
          <w:szCs w:val="22"/>
        </w:rPr>
        <w:t xml:space="preserve">EBP’s have provided a range of support to employers </w:t>
      </w:r>
      <w:r w:rsidR="00FC16B8" w:rsidRPr="00024A60">
        <w:rPr>
          <w:rFonts w:ascii="Gill Sans MT" w:hAnsi="Gill Sans MT"/>
          <w:color w:val="7F7F7F" w:themeColor="text1" w:themeTint="80"/>
          <w:sz w:val="22"/>
          <w:szCs w:val="22"/>
        </w:rPr>
        <w:t>to develop work experience opportunities</w:t>
      </w:r>
      <w:r w:rsidR="008150BD" w:rsidRPr="00024A60">
        <w:rPr>
          <w:rFonts w:ascii="Gill Sans MT" w:hAnsi="Gill Sans MT"/>
          <w:color w:val="7F7F7F" w:themeColor="text1" w:themeTint="80"/>
          <w:sz w:val="22"/>
          <w:szCs w:val="22"/>
        </w:rPr>
        <w:t>. E</w:t>
      </w:r>
      <w:r w:rsidR="00FC16B8" w:rsidRPr="00024A60">
        <w:rPr>
          <w:rFonts w:ascii="Gill Sans MT" w:hAnsi="Gill Sans MT"/>
          <w:color w:val="7F7F7F" w:themeColor="text1" w:themeTint="80"/>
          <w:sz w:val="22"/>
          <w:szCs w:val="22"/>
        </w:rPr>
        <w:t xml:space="preserve">xamples include the Platinum Provider Award for work experience </w:t>
      </w:r>
      <w:r w:rsidR="008150BD" w:rsidRPr="00024A60">
        <w:rPr>
          <w:rFonts w:ascii="Gill Sans MT" w:hAnsi="Gill Sans MT"/>
          <w:color w:val="7F7F7F" w:themeColor="text1" w:themeTint="80"/>
          <w:sz w:val="22"/>
          <w:szCs w:val="22"/>
        </w:rPr>
        <w:t>placements in</w:t>
      </w:r>
      <w:r w:rsidR="00FC16B8" w:rsidRPr="00024A60">
        <w:rPr>
          <w:rFonts w:ascii="Gill Sans MT" w:hAnsi="Gill Sans MT"/>
          <w:color w:val="7F7F7F" w:themeColor="text1" w:themeTint="80"/>
          <w:sz w:val="22"/>
          <w:szCs w:val="22"/>
        </w:rPr>
        <w:t xml:space="preserve"> Cornwall</w:t>
      </w:r>
      <w:r w:rsidR="00FC16B8" w:rsidRPr="00024A60">
        <w:rPr>
          <w:rStyle w:val="FootnoteReference"/>
          <w:rFonts w:ascii="Gill Sans MT" w:hAnsi="Gill Sans MT"/>
          <w:color w:val="7F7F7F" w:themeColor="text1" w:themeTint="80"/>
          <w:sz w:val="22"/>
          <w:szCs w:val="22"/>
        </w:rPr>
        <w:footnoteReference w:id="22"/>
      </w:r>
      <w:r w:rsidR="00FC16B8" w:rsidRPr="00024A60">
        <w:rPr>
          <w:rFonts w:ascii="Gill Sans MT" w:hAnsi="Gill Sans MT"/>
          <w:color w:val="7F7F7F" w:themeColor="text1" w:themeTint="80"/>
          <w:sz w:val="22"/>
          <w:szCs w:val="22"/>
        </w:rPr>
        <w:t xml:space="preserve"> which enables businesses to </w:t>
      </w:r>
      <w:r w:rsidR="00FC16B8" w:rsidRPr="00FC16B8">
        <w:rPr>
          <w:rFonts w:ascii="Gill Sans MT" w:hAnsi="Gill Sans MT"/>
          <w:color w:val="7F7F7F" w:themeColor="text1" w:themeTint="80"/>
          <w:sz w:val="22"/>
          <w:szCs w:val="22"/>
          <w:lang w:val="en"/>
        </w:rPr>
        <w:t>plan and quality assure their work experience more effectively</w:t>
      </w:r>
      <w:r w:rsidR="00FC16B8" w:rsidRPr="00024A60">
        <w:rPr>
          <w:rFonts w:ascii="Gill Sans MT" w:hAnsi="Gill Sans MT"/>
          <w:color w:val="7F7F7F" w:themeColor="text1" w:themeTint="80"/>
          <w:sz w:val="22"/>
          <w:szCs w:val="22"/>
          <w:lang w:val="en"/>
        </w:rPr>
        <w:t>. These models could be better supported through government funding via the CEC with a subsidised cost structure based on employer size.</w:t>
      </w:r>
      <w:r w:rsidR="00FC16B8" w:rsidRPr="00024A60">
        <w:rPr>
          <w:rFonts w:ascii="Gill Sans MT" w:hAnsi="Gill Sans MT"/>
          <w:color w:val="7F7F7F" w:themeColor="text1" w:themeTint="80"/>
          <w:sz w:val="22"/>
          <w:szCs w:val="22"/>
        </w:rPr>
        <w:t xml:space="preserve"> </w:t>
      </w:r>
      <w:r w:rsidR="00BA61E7" w:rsidRPr="00024A60">
        <w:rPr>
          <w:rFonts w:ascii="Gill Sans MT" w:hAnsi="Gill Sans MT"/>
          <w:color w:val="7F7F7F" w:themeColor="text1" w:themeTint="80"/>
          <w:sz w:val="22"/>
          <w:szCs w:val="22"/>
        </w:rPr>
        <w:t>Could there b</w:t>
      </w:r>
      <w:r w:rsidR="008150BD" w:rsidRPr="00024A60">
        <w:rPr>
          <w:rFonts w:ascii="Gill Sans MT" w:hAnsi="Gill Sans MT"/>
          <w:color w:val="7F7F7F" w:themeColor="text1" w:themeTint="80"/>
          <w:sz w:val="22"/>
          <w:szCs w:val="22"/>
        </w:rPr>
        <w:t>e</w:t>
      </w:r>
      <w:r w:rsidR="00BA61E7" w:rsidRPr="00024A60">
        <w:rPr>
          <w:rFonts w:ascii="Gill Sans MT" w:hAnsi="Gill Sans MT"/>
          <w:color w:val="7F7F7F" w:themeColor="text1" w:themeTint="80"/>
          <w:sz w:val="22"/>
          <w:szCs w:val="22"/>
        </w:rPr>
        <w:t xml:space="preserve"> </w:t>
      </w:r>
      <w:r w:rsidR="008150BD" w:rsidRPr="00024A60">
        <w:rPr>
          <w:rFonts w:ascii="Gill Sans MT" w:hAnsi="Gill Sans MT"/>
          <w:color w:val="7F7F7F" w:themeColor="text1" w:themeTint="80"/>
          <w:sz w:val="22"/>
          <w:szCs w:val="22"/>
        </w:rPr>
        <w:t xml:space="preserve">any </w:t>
      </w:r>
      <w:r w:rsidR="00BA61E7" w:rsidRPr="00024A60">
        <w:rPr>
          <w:rFonts w:ascii="Gill Sans MT" w:hAnsi="Gill Sans MT"/>
          <w:color w:val="7F7F7F" w:themeColor="text1" w:themeTint="80"/>
          <w:sz w:val="22"/>
          <w:szCs w:val="22"/>
        </w:rPr>
        <w:t xml:space="preserve">flexibility in </w:t>
      </w:r>
      <w:r w:rsidR="00E8467D" w:rsidRPr="00024A60">
        <w:rPr>
          <w:rFonts w:ascii="Gill Sans MT" w:hAnsi="Gill Sans MT"/>
          <w:color w:val="7F7F7F" w:themeColor="text1" w:themeTint="80"/>
          <w:sz w:val="22"/>
          <w:szCs w:val="22"/>
        </w:rPr>
        <w:t>Apprenticeship</w:t>
      </w:r>
      <w:r w:rsidR="00BA61E7" w:rsidRPr="00024A60">
        <w:rPr>
          <w:rFonts w:ascii="Gill Sans MT" w:hAnsi="Gill Sans MT"/>
          <w:color w:val="7F7F7F" w:themeColor="text1" w:themeTint="80"/>
          <w:sz w:val="22"/>
          <w:szCs w:val="22"/>
        </w:rPr>
        <w:t xml:space="preserve"> levy </w:t>
      </w:r>
      <w:r w:rsidR="008150BD" w:rsidRPr="00024A60">
        <w:rPr>
          <w:rFonts w:ascii="Gill Sans MT" w:hAnsi="Gill Sans MT"/>
          <w:color w:val="7F7F7F" w:themeColor="text1" w:themeTint="80"/>
          <w:sz w:val="22"/>
          <w:szCs w:val="22"/>
        </w:rPr>
        <w:t xml:space="preserve">funding </w:t>
      </w:r>
      <w:r w:rsidR="0044452D" w:rsidRPr="00024A60">
        <w:rPr>
          <w:rFonts w:ascii="Gill Sans MT" w:hAnsi="Gill Sans MT"/>
          <w:color w:val="7F7F7F" w:themeColor="text1" w:themeTint="80"/>
          <w:sz w:val="22"/>
          <w:szCs w:val="22"/>
        </w:rPr>
        <w:t xml:space="preserve">for instance </w:t>
      </w:r>
      <w:r w:rsidR="008150BD" w:rsidRPr="00024A60">
        <w:rPr>
          <w:rFonts w:ascii="Gill Sans MT" w:hAnsi="Gill Sans MT"/>
          <w:color w:val="7F7F7F" w:themeColor="text1" w:themeTint="80"/>
          <w:sz w:val="22"/>
          <w:szCs w:val="22"/>
        </w:rPr>
        <w:t xml:space="preserve">to provide </w:t>
      </w:r>
      <w:r w:rsidR="00BA61E7" w:rsidRPr="00024A60">
        <w:rPr>
          <w:rFonts w:ascii="Gill Sans MT" w:hAnsi="Gill Sans MT"/>
          <w:color w:val="7F7F7F" w:themeColor="text1" w:themeTint="80"/>
          <w:sz w:val="22"/>
          <w:szCs w:val="22"/>
        </w:rPr>
        <w:t xml:space="preserve">incentives for employers </w:t>
      </w:r>
      <w:r w:rsidR="00FC16B8" w:rsidRPr="00024A60">
        <w:rPr>
          <w:rFonts w:ascii="Gill Sans MT" w:hAnsi="Gill Sans MT"/>
          <w:color w:val="7F7F7F" w:themeColor="text1" w:themeTint="80"/>
          <w:sz w:val="22"/>
          <w:szCs w:val="22"/>
        </w:rPr>
        <w:t xml:space="preserve">to offer work experience </w:t>
      </w:r>
      <w:r w:rsidR="008150BD" w:rsidRPr="00024A60">
        <w:rPr>
          <w:rFonts w:ascii="Gill Sans MT" w:hAnsi="Gill Sans MT"/>
          <w:color w:val="7F7F7F" w:themeColor="text1" w:themeTint="80"/>
          <w:sz w:val="22"/>
          <w:szCs w:val="22"/>
        </w:rPr>
        <w:t>and use levy funding to buy in this type of support from EBPs.</w:t>
      </w:r>
      <w:r w:rsidR="0044452D" w:rsidRPr="00024A60">
        <w:rPr>
          <w:rFonts w:ascii="Gill Sans MT" w:hAnsi="Gill Sans MT"/>
          <w:color w:val="7F7F7F" w:themeColor="text1" w:themeTint="80"/>
          <w:sz w:val="22"/>
          <w:szCs w:val="22"/>
        </w:rPr>
        <w:t xml:space="preserve"> Levy funding could also be used more flexible to support </w:t>
      </w:r>
      <w:r w:rsidR="00BA61E7" w:rsidRPr="00024A60">
        <w:rPr>
          <w:rFonts w:ascii="Gill Sans MT" w:hAnsi="Gill Sans MT"/>
          <w:color w:val="7F7F7F" w:themeColor="text1" w:themeTint="80"/>
          <w:sz w:val="22"/>
          <w:szCs w:val="22"/>
        </w:rPr>
        <w:t>increasing the diversity of their workforce / fund supported employment services</w:t>
      </w:r>
      <w:r w:rsidR="0044452D" w:rsidRPr="00024A60">
        <w:rPr>
          <w:rFonts w:ascii="Gill Sans MT" w:hAnsi="Gill Sans MT"/>
          <w:color w:val="7F7F7F" w:themeColor="text1" w:themeTint="80"/>
          <w:sz w:val="22"/>
          <w:szCs w:val="22"/>
        </w:rPr>
        <w:t xml:space="preserve"> for young people with SEND. </w:t>
      </w:r>
      <w:r w:rsidR="00BA61E7" w:rsidRPr="00024A60">
        <w:rPr>
          <w:rFonts w:ascii="Gill Sans MT" w:hAnsi="Gill Sans MT"/>
          <w:color w:val="7F7F7F" w:themeColor="text1" w:themeTint="80"/>
          <w:sz w:val="22"/>
          <w:szCs w:val="22"/>
        </w:rPr>
        <w:t xml:space="preserve">Other incentives for employers to offer work </w:t>
      </w:r>
      <w:r w:rsidR="0044452D" w:rsidRPr="00024A60">
        <w:rPr>
          <w:rFonts w:ascii="Gill Sans MT" w:hAnsi="Gill Sans MT"/>
          <w:color w:val="7F7F7F" w:themeColor="text1" w:themeTint="80"/>
          <w:sz w:val="22"/>
          <w:szCs w:val="22"/>
        </w:rPr>
        <w:t>experience could potentially include a small business rate relief.</w:t>
      </w:r>
    </w:p>
    <w:p w14:paraId="0A24D199" w14:textId="77777777" w:rsidR="00BA61E7" w:rsidRPr="00024A60" w:rsidRDefault="00BA61E7" w:rsidP="00734749">
      <w:pPr>
        <w:pStyle w:val="Default"/>
        <w:spacing w:after="42"/>
        <w:rPr>
          <w:rFonts w:ascii="Gill Sans MT" w:hAnsi="Gill Sans MT"/>
          <w:color w:val="7F7F7F" w:themeColor="text1" w:themeTint="80"/>
          <w:sz w:val="22"/>
          <w:szCs w:val="22"/>
        </w:rPr>
      </w:pPr>
    </w:p>
    <w:p w14:paraId="418981EB" w14:textId="77777777" w:rsidR="00734749" w:rsidRPr="00024A60" w:rsidRDefault="00024A60" w:rsidP="00734749">
      <w:pPr>
        <w:pStyle w:val="Default"/>
        <w:rPr>
          <w:rFonts w:ascii="Gill Sans MT" w:hAnsi="Gill Sans MT"/>
          <w:b/>
          <w:sz w:val="22"/>
          <w:szCs w:val="22"/>
        </w:rPr>
      </w:pPr>
      <w:r>
        <w:rPr>
          <w:rFonts w:ascii="Gill Sans MT" w:hAnsi="Gill Sans MT"/>
          <w:b/>
          <w:sz w:val="22"/>
          <w:szCs w:val="22"/>
        </w:rPr>
        <w:t xml:space="preserve">10.0 </w:t>
      </w:r>
      <w:r w:rsidR="00734749" w:rsidRPr="00024A60">
        <w:rPr>
          <w:rFonts w:ascii="Gill Sans MT" w:hAnsi="Gill Sans MT"/>
          <w:b/>
          <w:sz w:val="22"/>
          <w:szCs w:val="22"/>
        </w:rPr>
        <w:t xml:space="preserve">What lessons can be learned from the approaches of the devolved administrations and other countries to work experience? </w:t>
      </w:r>
    </w:p>
    <w:p w14:paraId="5349FC12" w14:textId="77777777" w:rsidR="00E83B83" w:rsidRPr="00024A60" w:rsidRDefault="00024A60" w:rsidP="00E83B83">
      <w:pPr>
        <w:pStyle w:val="Default"/>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10.1 </w:t>
      </w:r>
      <w:r w:rsidR="00193237" w:rsidRPr="00024A60">
        <w:rPr>
          <w:rFonts w:ascii="Gill Sans MT" w:hAnsi="Gill Sans MT"/>
          <w:color w:val="7F7F7F" w:themeColor="text1" w:themeTint="80"/>
          <w:sz w:val="22"/>
          <w:szCs w:val="22"/>
        </w:rPr>
        <w:t>Cornwall Council reflected improved careers provision with their devolution deal</w:t>
      </w:r>
      <w:r w:rsidR="00E83B83" w:rsidRPr="00024A60">
        <w:rPr>
          <w:rFonts w:ascii="Gill Sans MT" w:hAnsi="Gill Sans MT"/>
          <w:color w:val="7F7F7F" w:themeColor="text1" w:themeTint="80"/>
          <w:sz w:val="22"/>
          <w:szCs w:val="22"/>
        </w:rPr>
        <w:t xml:space="preserve"> as set out below</w:t>
      </w:r>
      <w:r w:rsidR="00193237" w:rsidRPr="00024A60">
        <w:rPr>
          <w:rStyle w:val="FootnoteReference"/>
          <w:rFonts w:ascii="Gill Sans MT" w:hAnsi="Gill Sans MT"/>
          <w:color w:val="7F7F7F" w:themeColor="text1" w:themeTint="80"/>
          <w:sz w:val="22"/>
          <w:szCs w:val="22"/>
        </w:rPr>
        <w:footnoteReference w:id="23"/>
      </w:r>
      <w:r w:rsidR="00193237" w:rsidRPr="00024A60">
        <w:rPr>
          <w:rFonts w:ascii="Gill Sans MT" w:hAnsi="Gill Sans MT"/>
          <w:color w:val="7F7F7F" w:themeColor="text1" w:themeTint="80"/>
          <w:sz w:val="22"/>
          <w:szCs w:val="22"/>
        </w:rPr>
        <w:t xml:space="preserve">. </w:t>
      </w:r>
      <w:r w:rsidR="00E83B83" w:rsidRPr="00024A60">
        <w:rPr>
          <w:rFonts w:ascii="Gill Sans MT" w:hAnsi="Gill Sans MT"/>
          <w:color w:val="7F7F7F" w:themeColor="text1" w:themeTint="80"/>
          <w:sz w:val="22"/>
          <w:szCs w:val="22"/>
        </w:rPr>
        <w:t xml:space="preserve">This provided some traction with the CEC to lever in additional resource </w:t>
      </w:r>
      <w:r w:rsidR="00E8467D" w:rsidRPr="00024A60">
        <w:rPr>
          <w:rFonts w:ascii="Gill Sans MT" w:hAnsi="Gill Sans MT"/>
          <w:color w:val="7F7F7F" w:themeColor="text1" w:themeTint="80"/>
          <w:sz w:val="22"/>
          <w:szCs w:val="22"/>
        </w:rPr>
        <w:t>and</w:t>
      </w:r>
      <w:r w:rsidR="00E83B83" w:rsidRPr="00024A60">
        <w:rPr>
          <w:rFonts w:ascii="Gill Sans MT" w:hAnsi="Gill Sans MT"/>
          <w:color w:val="7F7F7F" w:themeColor="text1" w:themeTint="80"/>
          <w:sz w:val="22"/>
          <w:szCs w:val="22"/>
        </w:rPr>
        <w:t xml:space="preserve"> deliver a more tailored approach to the Enterprise Adviser Network in </w:t>
      </w:r>
      <w:r w:rsidR="00E8467D" w:rsidRPr="00024A60">
        <w:rPr>
          <w:rFonts w:ascii="Gill Sans MT" w:hAnsi="Gill Sans MT"/>
          <w:color w:val="7F7F7F" w:themeColor="text1" w:themeTint="80"/>
          <w:sz w:val="22"/>
          <w:szCs w:val="22"/>
        </w:rPr>
        <w:t>Cornwall,</w:t>
      </w:r>
      <w:r w:rsidR="00E83B83" w:rsidRPr="00024A60">
        <w:rPr>
          <w:rFonts w:ascii="Gill Sans MT" w:hAnsi="Gill Sans MT"/>
          <w:color w:val="7F7F7F" w:themeColor="text1" w:themeTint="80"/>
          <w:sz w:val="22"/>
          <w:szCs w:val="22"/>
        </w:rPr>
        <w:t xml:space="preserve"> that better responds to need of the local area.</w:t>
      </w:r>
    </w:p>
    <w:p w14:paraId="5858275D" w14:textId="77777777" w:rsidR="00E83B83" w:rsidRPr="00024A60" w:rsidRDefault="00E83B83" w:rsidP="00193237">
      <w:pPr>
        <w:pStyle w:val="Default"/>
        <w:rPr>
          <w:rFonts w:ascii="Gill Sans MT" w:hAnsi="Gill Sans MT"/>
          <w:color w:val="7F7F7F" w:themeColor="text1" w:themeTint="80"/>
          <w:sz w:val="22"/>
          <w:szCs w:val="22"/>
        </w:rPr>
      </w:pPr>
    </w:p>
    <w:p w14:paraId="48EAF90B" w14:textId="77777777" w:rsidR="00AD7650" w:rsidRPr="00024A60" w:rsidRDefault="00024A60" w:rsidP="007E7DBA">
      <w:pPr>
        <w:pStyle w:val="Default"/>
        <w:rPr>
          <w:rFonts w:ascii="Gill Sans MT" w:hAnsi="Gill Sans MT"/>
          <w:i/>
          <w:color w:val="7F7F7F" w:themeColor="text1" w:themeTint="80"/>
          <w:sz w:val="22"/>
          <w:szCs w:val="22"/>
        </w:rPr>
      </w:pPr>
      <w:r>
        <w:rPr>
          <w:rFonts w:ascii="Gill Sans MT" w:hAnsi="Gill Sans MT"/>
          <w:i/>
          <w:color w:val="7F7F7F" w:themeColor="text1" w:themeTint="80"/>
          <w:sz w:val="22"/>
          <w:szCs w:val="22"/>
        </w:rPr>
        <w:t xml:space="preserve">10.2 </w:t>
      </w:r>
      <w:r w:rsidR="00193237" w:rsidRPr="00024A60">
        <w:rPr>
          <w:rFonts w:ascii="Gill Sans MT" w:hAnsi="Gill Sans MT"/>
          <w:i/>
          <w:color w:val="7F7F7F" w:themeColor="text1" w:themeTint="80"/>
          <w:sz w:val="22"/>
          <w:szCs w:val="22"/>
        </w:rPr>
        <w:t xml:space="preserve">Building on the existing local Enterprise Adviser Pilot, Cornwall and Isles of Scilly Local Enterprise Partnership and other local partners will work jointly with the new Careers and Enterprise Company to coordinate employer-education activity more effectively. </w:t>
      </w:r>
    </w:p>
    <w:p w14:paraId="7961082A" w14:textId="77777777" w:rsidR="007E7DBA" w:rsidRPr="00024A60" w:rsidRDefault="007E7DBA" w:rsidP="007E7DBA">
      <w:pPr>
        <w:pStyle w:val="Default"/>
        <w:rPr>
          <w:rFonts w:ascii="Gill Sans MT" w:hAnsi="Gill Sans MT"/>
          <w:i/>
          <w:color w:val="7F7F7F" w:themeColor="text1" w:themeTint="80"/>
          <w:sz w:val="22"/>
          <w:szCs w:val="22"/>
        </w:rPr>
      </w:pPr>
    </w:p>
    <w:p w14:paraId="1A83260D" w14:textId="77777777" w:rsidR="007E7DBA" w:rsidRPr="00024A60" w:rsidRDefault="00024A60" w:rsidP="007E7DBA">
      <w:pPr>
        <w:pStyle w:val="Default"/>
        <w:rPr>
          <w:rFonts w:ascii="Gill Sans MT" w:hAnsi="Gill Sans MT"/>
          <w:color w:val="7F7F7F" w:themeColor="text1" w:themeTint="80"/>
          <w:sz w:val="22"/>
          <w:szCs w:val="22"/>
        </w:rPr>
      </w:pPr>
      <w:r>
        <w:rPr>
          <w:rFonts w:ascii="Gill Sans MT" w:hAnsi="Gill Sans MT"/>
          <w:color w:val="7F7F7F" w:themeColor="text1" w:themeTint="80"/>
          <w:sz w:val="22"/>
          <w:szCs w:val="22"/>
        </w:rPr>
        <w:t xml:space="preserve">10.3 </w:t>
      </w:r>
      <w:r w:rsidR="007E7DBA" w:rsidRPr="00024A60">
        <w:rPr>
          <w:rFonts w:ascii="Gill Sans MT" w:hAnsi="Gill Sans MT"/>
          <w:color w:val="7F7F7F" w:themeColor="text1" w:themeTint="80"/>
          <w:sz w:val="22"/>
          <w:szCs w:val="22"/>
        </w:rPr>
        <w:t>The Gatsby report</w:t>
      </w:r>
      <w:r w:rsidR="007E7DBA" w:rsidRPr="00024A60">
        <w:rPr>
          <w:rStyle w:val="FootnoteReference"/>
          <w:rFonts w:ascii="Gill Sans MT" w:hAnsi="Gill Sans MT"/>
          <w:color w:val="7F7F7F" w:themeColor="text1" w:themeTint="80"/>
          <w:sz w:val="22"/>
          <w:szCs w:val="22"/>
        </w:rPr>
        <w:footnoteReference w:id="24"/>
      </w:r>
      <w:r w:rsidR="007E7DBA" w:rsidRPr="00024A60">
        <w:rPr>
          <w:rFonts w:ascii="Gill Sans MT" w:hAnsi="Gill Sans MT"/>
          <w:color w:val="7F7F7F" w:themeColor="text1" w:themeTint="80"/>
          <w:sz w:val="22"/>
          <w:szCs w:val="22"/>
        </w:rPr>
        <w:t xml:space="preserve"> undertook international research into good practice across its benchmarks. For work experience </w:t>
      </w:r>
      <w:r w:rsidR="008150BD" w:rsidRPr="00024A60">
        <w:rPr>
          <w:rFonts w:ascii="Gill Sans MT" w:hAnsi="Gill Sans MT"/>
          <w:color w:val="7F7F7F" w:themeColor="text1" w:themeTint="80"/>
          <w:sz w:val="22"/>
          <w:szCs w:val="22"/>
        </w:rPr>
        <w:t>and</w:t>
      </w:r>
      <w:r w:rsidR="007E7DBA" w:rsidRPr="00024A60">
        <w:rPr>
          <w:rFonts w:ascii="Gill Sans MT" w:hAnsi="Gill Sans MT"/>
          <w:color w:val="7F7F7F" w:themeColor="text1" w:themeTint="80"/>
          <w:sz w:val="22"/>
          <w:szCs w:val="22"/>
        </w:rPr>
        <w:t xml:space="preserve"> work related learning there are a number of examples including:</w:t>
      </w:r>
    </w:p>
    <w:p w14:paraId="34577EB0" w14:textId="77777777" w:rsidR="007E7DBA" w:rsidRPr="00024A60" w:rsidRDefault="007E7DBA" w:rsidP="007E7DBA">
      <w:pPr>
        <w:pStyle w:val="Default"/>
        <w:numPr>
          <w:ilvl w:val="0"/>
          <w:numId w:val="32"/>
        </w:numPr>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Ireland – preparation for life transition year at 16/17 including work experience</w:t>
      </w:r>
    </w:p>
    <w:p w14:paraId="1BA40819" w14:textId="77777777" w:rsidR="007E7DBA" w:rsidRPr="00024A60" w:rsidRDefault="007E7DBA" w:rsidP="007E7DBA">
      <w:pPr>
        <w:pStyle w:val="Default"/>
        <w:numPr>
          <w:ilvl w:val="0"/>
          <w:numId w:val="32"/>
        </w:numPr>
        <w:rPr>
          <w:rFonts w:ascii="Gill Sans MT" w:hAnsi="Gill Sans MT"/>
          <w:color w:val="7F7F7F" w:themeColor="text1" w:themeTint="80"/>
          <w:sz w:val="22"/>
          <w:szCs w:val="22"/>
        </w:rPr>
      </w:pPr>
      <w:r w:rsidRPr="00024A60">
        <w:rPr>
          <w:rFonts w:ascii="Gill Sans MT" w:hAnsi="Gill Sans MT"/>
          <w:color w:val="7F7F7F" w:themeColor="text1" w:themeTint="80"/>
          <w:sz w:val="22"/>
          <w:szCs w:val="22"/>
        </w:rPr>
        <w:t>Finland – vocational education placement system.</w:t>
      </w:r>
    </w:p>
    <w:p w14:paraId="7ED7589B" w14:textId="77777777" w:rsidR="007E7DBA" w:rsidRDefault="007E7DBA" w:rsidP="007E7DBA">
      <w:pPr>
        <w:pStyle w:val="Default"/>
        <w:rPr>
          <w:rFonts w:ascii="Gill Sans MT" w:hAnsi="Gill Sans MT"/>
          <w:color w:val="7F7F7F" w:themeColor="text1" w:themeTint="80"/>
          <w:sz w:val="22"/>
          <w:szCs w:val="22"/>
        </w:rPr>
      </w:pPr>
    </w:p>
    <w:p w14:paraId="266F34FC" w14:textId="77777777" w:rsidR="007E7DBA" w:rsidRDefault="007E7DBA" w:rsidP="007E7DBA">
      <w:pPr>
        <w:pStyle w:val="Default"/>
        <w:rPr>
          <w:rFonts w:ascii="Gill Sans MT" w:hAnsi="Gill Sans MT"/>
          <w:color w:val="7F7F7F" w:themeColor="text1" w:themeTint="80"/>
          <w:sz w:val="22"/>
          <w:szCs w:val="22"/>
        </w:rPr>
      </w:pPr>
    </w:p>
    <w:p w14:paraId="135078FF" w14:textId="77777777" w:rsidR="0044452D" w:rsidRDefault="0044452D" w:rsidP="007E7DBA">
      <w:pPr>
        <w:pStyle w:val="Default"/>
        <w:rPr>
          <w:rFonts w:ascii="Gill Sans MT" w:hAnsi="Gill Sans MT"/>
          <w:color w:val="7F7F7F" w:themeColor="text1" w:themeTint="80"/>
          <w:sz w:val="22"/>
          <w:szCs w:val="22"/>
        </w:rPr>
      </w:pPr>
    </w:p>
    <w:p w14:paraId="113E9320" w14:textId="77777777" w:rsidR="007E7DBA" w:rsidRDefault="003C3884" w:rsidP="007E7DBA">
      <w:pPr>
        <w:pStyle w:val="Default"/>
        <w:rPr>
          <w:rFonts w:ascii="Gill Sans MT" w:hAnsi="Gill Sans MT"/>
          <w:color w:val="7F7F7F" w:themeColor="text1" w:themeTint="80"/>
          <w:sz w:val="22"/>
          <w:szCs w:val="22"/>
        </w:rPr>
      </w:pPr>
      <w:r>
        <w:rPr>
          <w:rFonts w:ascii="Gill Sans MT" w:hAnsi="Gill Sans MT"/>
          <w:color w:val="7F7F7F" w:themeColor="text1" w:themeTint="80"/>
          <w:sz w:val="22"/>
          <w:szCs w:val="22"/>
        </w:rPr>
        <w:t>June 2018</w:t>
      </w:r>
      <w:bookmarkStart w:id="0" w:name="_GoBack"/>
      <w:bookmarkEnd w:id="0"/>
    </w:p>
    <w:p w14:paraId="289EE6DA" w14:textId="77777777" w:rsidR="007E7DBA" w:rsidRPr="007E7DBA" w:rsidRDefault="007E7DBA" w:rsidP="007E7DBA">
      <w:pPr>
        <w:pStyle w:val="Default"/>
        <w:rPr>
          <w:rFonts w:ascii="Gill Sans MT" w:hAnsi="Gill Sans MT"/>
          <w:color w:val="7F7F7F" w:themeColor="text1" w:themeTint="80"/>
          <w:sz w:val="22"/>
          <w:szCs w:val="22"/>
        </w:rPr>
      </w:pPr>
    </w:p>
    <w:sectPr w:rsidR="007E7DBA" w:rsidRPr="007E7DBA" w:rsidSect="00DB12C2">
      <w:headerReference w:type="default" r:id="rId8"/>
      <w:footerReference w:type="default" r:id="rId9"/>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6CC3" w14:textId="77777777" w:rsidR="00734749" w:rsidRDefault="00734749">
      <w:r>
        <w:separator/>
      </w:r>
    </w:p>
  </w:endnote>
  <w:endnote w:type="continuationSeparator" w:id="0">
    <w:p w14:paraId="75648490" w14:textId="77777777" w:rsidR="00734749" w:rsidRDefault="0073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ohoStd-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C2AF" w14:textId="77777777" w:rsidR="007E7DBA" w:rsidRDefault="00D1553B" w:rsidP="003F0240">
    <w:pPr>
      <w:pStyle w:val="Footer"/>
      <w:rPr>
        <w:rStyle w:val="FooterChar"/>
        <w:sz w:val="16"/>
        <w:szCs w:val="16"/>
      </w:rPr>
    </w:pPr>
    <w:r w:rsidRPr="00E8467D">
      <w:rPr>
        <w:rStyle w:val="FooterChar"/>
        <w:sz w:val="16"/>
        <w:szCs w:val="16"/>
      </w:rPr>
      <w:tab/>
      <w:t xml:space="preserve">Page </w:t>
    </w:r>
    <w:r w:rsidRPr="00E8467D">
      <w:rPr>
        <w:rStyle w:val="FooterChar"/>
        <w:sz w:val="16"/>
        <w:szCs w:val="16"/>
      </w:rPr>
      <w:fldChar w:fldCharType="begin"/>
    </w:r>
    <w:r w:rsidRPr="00E8467D">
      <w:rPr>
        <w:rStyle w:val="FooterChar"/>
        <w:sz w:val="16"/>
        <w:szCs w:val="16"/>
      </w:rPr>
      <w:instrText xml:space="preserve"> PAGE </w:instrText>
    </w:r>
    <w:r w:rsidRPr="00E8467D">
      <w:rPr>
        <w:rStyle w:val="FooterChar"/>
        <w:sz w:val="16"/>
        <w:szCs w:val="16"/>
      </w:rPr>
      <w:fldChar w:fldCharType="separate"/>
    </w:r>
    <w:r w:rsidR="003C3884">
      <w:rPr>
        <w:rStyle w:val="FooterChar"/>
        <w:noProof/>
        <w:sz w:val="16"/>
        <w:szCs w:val="16"/>
      </w:rPr>
      <w:t>6</w:t>
    </w:r>
    <w:r w:rsidRPr="00E8467D">
      <w:rPr>
        <w:rStyle w:val="FooterChar"/>
        <w:sz w:val="16"/>
        <w:szCs w:val="16"/>
      </w:rPr>
      <w:fldChar w:fldCharType="end"/>
    </w:r>
    <w:r w:rsidRPr="00E8467D">
      <w:rPr>
        <w:rStyle w:val="FooterChar"/>
        <w:sz w:val="16"/>
        <w:szCs w:val="16"/>
      </w:rPr>
      <w:t xml:space="preserve"> of </w:t>
    </w:r>
    <w:r w:rsidRPr="00E8467D">
      <w:rPr>
        <w:rStyle w:val="FooterChar"/>
        <w:sz w:val="16"/>
        <w:szCs w:val="16"/>
      </w:rPr>
      <w:fldChar w:fldCharType="begin"/>
    </w:r>
    <w:r w:rsidRPr="00E8467D">
      <w:rPr>
        <w:rStyle w:val="FooterChar"/>
        <w:sz w:val="16"/>
        <w:szCs w:val="16"/>
      </w:rPr>
      <w:instrText xml:space="preserve"> NUMPAGES </w:instrText>
    </w:r>
    <w:r w:rsidRPr="00E8467D">
      <w:rPr>
        <w:rStyle w:val="FooterChar"/>
        <w:sz w:val="16"/>
        <w:szCs w:val="16"/>
      </w:rPr>
      <w:fldChar w:fldCharType="separate"/>
    </w:r>
    <w:r w:rsidR="003C3884">
      <w:rPr>
        <w:rStyle w:val="FooterChar"/>
        <w:noProof/>
        <w:sz w:val="16"/>
        <w:szCs w:val="16"/>
      </w:rPr>
      <w:t>6</w:t>
    </w:r>
    <w:r w:rsidRPr="00E8467D">
      <w:rPr>
        <w:rStyle w:val="FooterChar"/>
        <w:sz w:val="16"/>
        <w:szCs w:val="16"/>
      </w:rPr>
      <w:fldChar w:fldCharType="end"/>
    </w:r>
  </w:p>
  <w:p w14:paraId="68A3A84F" w14:textId="77777777" w:rsidR="007E7DBA" w:rsidRPr="00E8467D" w:rsidRDefault="007E7DBA" w:rsidP="007E7DBA">
    <w:pPr>
      <w:pStyle w:val="Footer"/>
      <w:jc w:val="both"/>
      <w:rPr>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7913" w14:textId="77777777" w:rsidR="00734749" w:rsidRDefault="00734749">
      <w:r>
        <w:separator/>
      </w:r>
    </w:p>
  </w:footnote>
  <w:footnote w:type="continuationSeparator" w:id="0">
    <w:p w14:paraId="79C46388" w14:textId="77777777" w:rsidR="00734749" w:rsidRDefault="00734749">
      <w:r>
        <w:continuationSeparator/>
      </w:r>
    </w:p>
  </w:footnote>
  <w:footnote w:id="1">
    <w:p w14:paraId="4E3C4777" w14:textId="77777777" w:rsidR="00442429" w:rsidRPr="00701243" w:rsidRDefault="00442429" w:rsidP="00442429">
      <w:pPr>
        <w:pStyle w:val="FootnoteText"/>
        <w:rPr>
          <w:sz w:val="16"/>
          <w:szCs w:val="16"/>
        </w:rPr>
      </w:pPr>
      <w:r w:rsidRPr="00701243">
        <w:rPr>
          <w:rStyle w:val="FootnoteReference"/>
          <w:sz w:val="16"/>
          <w:szCs w:val="16"/>
        </w:rPr>
        <w:footnoteRef/>
      </w:r>
      <w:r w:rsidRPr="00701243">
        <w:rPr>
          <w:sz w:val="16"/>
          <w:szCs w:val="16"/>
        </w:rPr>
        <w:t xml:space="preserve"> https://www.careersandenterprise.co.uk/</w:t>
      </w:r>
    </w:p>
  </w:footnote>
  <w:footnote w:id="2">
    <w:p w14:paraId="798E6DC7" w14:textId="77777777" w:rsidR="002800F9" w:rsidRPr="00E8467D" w:rsidRDefault="002800F9" w:rsidP="002800F9">
      <w:pPr>
        <w:pStyle w:val="FootnoteText"/>
        <w:rPr>
          <w:sz w:val="16"/>
          <w:szCs w:val="16"/>
        </w:rPr>
      </w:pPr>
      <w:r w:rsidRPr="00E8467D">
        <w:rPr>
          <w:rStyle w:val="FootnoteReference"/>
          <w:sz w:val="16"/>
          <w:szCs w:val="16"/>
        </w:rPr>
        <w:footnoteRef/>
      </w:r>
      <w:r w:rsidRPr="00E8467D">
        <w:rPr>
          <w:sz w:val="16"/>
          <w:szCs w:val="16"/>
        </w:rPr>
        <w:t xml:space="preserve"> https://www.educationandemployers.org/wp-content/uploads/2014/06/time-well-spent-cbi.pdf</w:t>
      </w:r>
    </w:p>
  </w:footnote>
  <w:footnote w:id="3">
    <w:p w14:paraId="68166B6B" w14:textId="77777777" w:rsidR="0098718F" w:rsidRPr="00E8467D" w:rsidRDefault="0098718F">
      <w:pPr>
        <w:pStyle w:val="FootnoteText"/>
        <w:rPr>
          <w:sz w:val="16"/>
          <w:szCs w:val="16"/>
        </w:rPr>
      </w:pPr>
      <w:r w:rsidRPr="00E8467D">
        <w:rPr>
          <w:rStyle w:val="FootnoteReference"/>
          <w:sz w:val="16"/>
          <w:szCs w:val="16"/>
        </w:rPr>
        <w:footnoteRef/>
      </w:r>
      <w:r w:rsidRPr="00E8467D">
        <w:rPr>
          <w:sz w:val="16"/>
          <w:szCs w:val="16"/>
        </w:rPr>
        <w:t xml:space="preserve"> </w:t>
      </w:r>
      <w:hyperlink r:id="rId1" w:history="1">
        <w:r w:rsidRPr="00E8467D">
          <w:rPr>
            <w:rStyle w:val="Hyperlink"/>
            <w:rFonts w:ascii="Arial" w:hAnsi="Arial"/>
            <w:sz w:val="16"/>
            <w:szCs w:val="16"/>
          </w:rPr>
          <w:t>http://www.ocr.org.uk/Images/168852-the-ocr-guide-to-best-practice-in-work-experience.pdf</w:t>
        </w:r>
      </w:hyperlink>
    </w:p>
  </w:footnote>
  <w:footnote w:id="4">
    <w:p w14:paraId="3F23D917" w14:textId="77777777" w:rsidR="002800F9" w:rsidRPr="00E8467D" w:rsidRDefault="002800F9" w:rsidP="002800F9">
      <w:pPr>
        <w:pStyle w:val="FootnoteText"/>
        <w:rPr>
          <w:sz w:val="16"/>
          <w:szCs w:val="16"/>
        </w:rPr>
      </w:pPr>
      <w:r w:rsidRPr="00E8467D">
        <w:rPr>
          <w:rStyle w:val="FootnoteReference"/>
          <w:sz w:val="16"/>
          <w:szCs w:val="16"/>
        </w:rPr>
        <w:footnoteRef/>
      </w:r>
      <w:r w:rsidRPr="00E8467D">
        <w:rPr>
          <w:sz w:val="16"/>
          <w:szCs w:val="16"/>
        </w:rPr>
        <w:t xml:space="preserve"> https://www.citb.co.uk/news-events/uk/work-experience-key-to-plugging-skills-gaps/</w:t>
      </w:r>
    </w:p>
  </w:footnote>
  <w:footnote w:id="5">
    <w:p w14:paraId="5D4C0C70" w14:textId="77777777" w:rsidR="002800F9" w:rsidRPr="00E8467D" w:rsidRDefault="002800F9" w:rsidP="002800F9">
      <w:pPr>
        <w:pStyle w:val="FootnoteText"/>
        <w:rPr>
          <w:sz w:val="16"/>
          <w:szCs w:val="16"/>
        </w:rPr>
      </w:pPr>
      <w:r w:rsidRPr="00E8467D">
        <w:rPr>
          <w:rStyle w:val="FootnoteReference"/>
          <w:sz w:val="16"/>
          <w:szCs w:val="16"/>
        </w:rPr>
        <w:footnoteRef/>
      </w:r>
      <w:r w:rsidRPr="00E8467D">
        <w:rPr>
          <w:sz w:val="16"/>
          <w:szCs w:val="16"/>
        </w:rPr>
        <w:t xml:space="preserve"> http://www.gatsby.org.uk/uploads/education/reports/pdf/gatsby-sir-john-holman-good-career-guidance-2014.pdf</w:t>
      </w:r>
    </w:p>
  </w:footnote>
  <w:footnote w:id="6">
    <w:p w14:paraId="498610A9" w14:textId="77777777" w:rsidR="009F3713" w:rsidRPr="00E8467D" w:rsidRDefault="009F3713" w:rsidP="009F3713">
      <w:pPr>
        <w:pStyle w:val="FootnoteText"/>
        <w:rPr>
          <w:sz w:val="16"/>
          <w:szCs w:val="16"/>
        </w:rPr>
      </w:pPr>
      <w:r w:rsidRPr="00E8467D">
        <w:rPr>
          <w:rStyle w:val="FootnoteReference"/>
          <w:sz w:val="16"/>
          <w:szCs w:val="16"/>
        </w:rPr>
        <w:footnoteRef/>
      </w:r>
      <w:r w:rsidRPr="00E8467D">
        <w:rPr>
          <w:sz w:val="16"/>
          <w:szCs w:val="16"/>
        </w:rPr>
        <w:t xml:space="preserve"> https://www.educationandemployers.org/research/the-work-experience-placements-of-secondary-school-students-widening-horizons-or-reproducing-social-inequality-january-2008/</w:t>
      </w:r>
    </w:p>
  </w:footnote>
  <w:footnote w:id="7">
    <w:p w14:paraId="3739F36B" w14:textId="77777777" w:rsidR="009F3713" w:rsidRPr="00E8467D" w:rsidRDefault="009F3713" w:rsidP="009F3713">
      <w:pPr>
        <w:pStyle w:val="FootnoteText"/>
        <w:rPr>
          <w:sz w:val="16"/>
          <w:szCs w:val="16"/>
        </w:rPr>
      </w:pPr>
      <w:r w:rsidRPr="00E8467D">
        <w:rPr>
          <w:rStyle w:val="FootnoteReference"/>
          <w:sz w:val="16"/>
          <w:szCs w:val="16"/>
        </w:rPr>
        <w:footnoteRef/>
      </w:r>
      <w:r w:rsidRPr="00E8467D">
        <w:rPr>
          <w:sz w:val="16"/>
          <w:szCs w:val="16"/>
        </w:rPr>
        <w:t xml:space="preserve"> http://www.socialmobility.org.uk/2017/04/one-1-work-experience-campaign/</w:t>
      </w:r>
    </w:p>
  </w:footnote>
  <w:footnote w:id="8">
    <w:p w14:paraId="453C2969" w14:textId="77777777" w:rsidR="009F3713" w:rsidRPr="00701243" w:rsidRDefault="009F3713" w:rsidP="009F3713">
      <w:pPr>
        <w:pStyle w:val="FootnoteText"/>
        <w:rPr>
          <w:sz w:val="16"/>
          <w:szCs w:val="16"/>
        </w:rPr>
      </w:pPr>
      <w:r w:rsidRPr="00701243">
        <w:rPr>
          <w:rStyle w:val="FootnoteReference"/>
          <w:sz w:val="16"/>
          <w:szCs w:val="16"/>
        </w:rPr>
        <w:footnoteRef/>
      </w:r>
      <w:r w:rsidRPr="00701243">
        <w:rPr>
          <w:sz w:val="16"/>
          <w:szCs w:val="16"/>
        </w:rPr>
        <w:t>https://assets.publishing.service.gov.uk/government/uploads/system/uploads/attachment_data/file/404997/15.02.18._Youth_report_V17.pdf</w:t>
      </w:r>
    </w:p>
  </w:footnote>
  <w:footnote w:id="9">
    <w:p w14:paraId="300D7D4F" w14:textId="77777777" w:rsidR="0095319F" w:rsidRPr="00701243" w:rsidRDefault="0095319F" w:rsidP="0095319F">
      <w:pPr>
        <w:pStyle w:val="FootnoteText"/>
        <w:rPr>
          <w:sz w:val="16"/>
          <w:szCs w:val="16"/>
        </w:rPr>
      </w:pPr>
      <w:r w:rsidRPr="00701243">
        <w:rPr>
          <w:rStyle w:val="FootnoteReference"/>
          <w:sz w:val="16"/>
          <w:szCs w:val="16"/>
        </w:rPr>
        <w:footnoteRef/>
      </w:r>
      <w:r w:rsidRPr="00701243">
        <w:rPr>
          <w:sz w:val="16"/>
          <w:szCs w:val="16"/>
        </w:rPr>
        <w:t xml:space="preserve"> https://www.careersandenterprise.co.uk/</w:t>
      </w:r>
    </w:p>
  </w:footnote>
  <w:footnote w:id="10">
    <w:p w14:paraId="108D0336" w14:textId="77777777" w:rsidR="0095319F" w:rsidRPr="00701243" w:rsidRDefault="0095319F" w:rsidP="0095319F">
      <w:pPr>
        <w:pStyle w:val="FootnoteText"/>
        <w:rPr>
          <w:sz w:val="16"/>
          <w:szCs w:val="16"/>
        </w:rPr>
      </w:pPr>
      <w:r w:rsidRPr="00701243">
        <w:rPr>
          <w:rStyle w:val="FootnoteReference"/>
          <w:sz w:val="16"/>
          <w:szCs w:val="16"/>
        </w:rPr>
        <w:footnoteRef/>
      </w:r>
      <w:r w:rsidRPr="00701243">
        <w:rPr>
          <w:sz w:val="16"/>
          <w:szCs w:val="16"/>
        </w:rPr>
        <w:t xml:space="preserve"> </w:t>
      </w:r>
      <w:hyperlink r:id="rId2" w:history="1">
        <w:r w:rsidRPr="00701243">
          <w:rPr>
            <w:rStyle w:val="Hyperlink"/>
            <w:sz w:val="16"/>
            <w:szCs w:val="16"/>
          </w:rPr>
          <w:t>http://www.ebpnational.org.uk/</w:t>
        </w:r>
      </w:hyperlink>
    </w:p>
    <w:p w14:paraId="0CC0FB59" w14:textId="77777777" w:rsidR="0095319F" w:rsidRDefault="0095319F" w:rsidP="0095319F">
      <w:pPr>
        <w:pStyle w:val="FootnoteText"/>
      </w:pPr>
    </w:p>
  </w:footnote>
  <w:footnote w:id="11">
    <w:p w14:paraId="627738CE" w14:textId="77777777" w:rsidR="00E8467D" w:rsidRPr="008150BD" w:rsidRDefault="0017233E" w:rsidP="00E8467D">
      <w:pPr>
        <w:pStyle w:val="FootnoteText"/>
        <w:rPr>
          <w:sz w:val="16"/>
          <w:szCs w:val="16"/>
        </w:rPr>
      </w:pPr>
      <w:r w:rsidRPr="008150BD">
        <w:rPr>
          <w:rStyle w:val="FootnoteReference"/>
          <w:sz w:val="16"/>
          <w:szCs w:val="16"/>
        </w:rPr>
        <w:footnoteRef/>
      </w:r>
      <w:r w:rsidRPr="008150BD">
        <w:rPr>
          <w:sz w:val="16"/>
          <w:szCs w:val="16"/>
        </w:rPr>
        <w:t>https://assets.publishing.service.gov.uk/government/uploads/system/uploads/attachment_data/file/672418/_Careers_guidance_and_access_for_education_and_training_providers.pdf</w:t>
      </w:r>
    </w:p>
  </w:footnote>
  <w:footnote w:id="12">
    <w:p w14:paraId="12CB2EE0" w14:textId="77777777" w:rsidR="00A44AB2" w:rsidRPr="008150BD" w:rsidRDefault="00A44AB2" w:rsidP="00A44AB2">
      <w:pPr>
        <w:pStyle w:val="FootnoteText"/>
        <w:rPr>
          <w:sz w:val="16"/>
          <w:szCs w:val="16"/>
        </w:rPr>
      </w:pPr>
      <w:r w:rsidRPr="008150BD">
        <w:rPr>
          <w:rStyle w:val="FootnoteReference"/>
          <w:sz w:val="16"/>
          <w:szCs w:val="16"/>
        </w:rPr>
        <w:footnoteRef/>
      </w:r>
      <w:r w:rsidRPr="008150BD">
        <w:rPr>
          <w:sz w:val="16"/>
          <w:szCs w:val="16"/>
        </w:rPr>
        <w:t>https://assets.publishing.service.gov.uk/government/uploads/system/uploads/attachment_data/file/696842/Further_education_and_skills_inspection_handbook_April_2018.doc.pdf</w:t>
      </w:r>
    </w:p>
  </w:footnote>
  <w:footnote w:id="13">
    <w:p w14:paraId="17D1FA67" w14:textId="77777777" w:rsidR="00193237" w:rsidRPr="008150BD" w:rsidRDefault="00193237" w:rsidP="007F7C8F">
      <w:pPr>
        <w:pStyle w:val="FootnoteText"/>
        <w:rPr>
          <w:sz w:val="16"/>
          <w:szCs w:val="16"/>
        </w:rPr>
      </w:pPr>
      <w:r w:rsidRPr="008150BD">
        <w:rPr>
          <w:rStyle w:val="FootnoteReference"/>
          <w:sz w:val="16"/>
          <w:szCs w:val="16"/>
        </w:rPr>
        <w:footnoteRef/>
      </w:r>
      <w:r w:rsidRPr="008150BD">
        <w:rPr>
          <w:sz w:val="16"/>
          <w:szCs w:val="16"/>
        </w:rPr>
        <w:t xml:space="preserve"> </w:t>
      </w:r>
      <w:hyperlink r:id="rId3" w:history="1">
        <w:r w:rsidRPr="008150BD">
          <w:rPr>
            <w:rStyle w:val="Hyperlink"/>
            <w:sz w:val="16"/>
            <w:szCs w:val="16"/>
          </w:rPr>
          <w:t>https://assets.publishing.service.gov.uk/government/uploads/system/uploads/attachment_data/file/699810/School_inspection_handbook_section_5.pdf</w:t>
        </w:r>
      </w:hyperlink>
    </w:p>
  </w:footnote>
  <w:footnote w:id="14">
    <w:p w14:paraId="6D800FA4" w14:textId="77777777" w:rsidR="00EF021F" w:rsidRPr="00E8467D" w:rsidRDefault="00EF021F" w:rsidP="00EF021F">
      <w:pPr>
        <w:pStyle w:val="FootnoteText"/>
        <w:rPr>
          <w:sz w:val="16"/>
          <w:szCs w:val="16"/>
        </w:rPr>
      </w:pPr>
      <w:r w:rsidRPr="008150BD">
        <w:rPr>
          <w:rStyle w:val="FootnoteReference"/>
          <w:sz w:val="16"/>
          <w:szCs w:val="16"/>
        </w:rPr>
        <w:footnoteRef/>
      </w:r>
      <w:r w:rsidRPr="008150BD">
        <w:rPr>
          <w:sz w:val="16"/>
          <w:szCs w:val="16"/>
        </w:rPr>
        <w:t xml:space="preserve"> https://assets.publishing.service.gov.uk/government/uploads/system/uploads/attachment_data/file/395355/Engaging_small_and_medium-sized_enterprises_in_work_experience_and_apprenticeships_in_London.pdf</w:t>
      </w:r>
    </w:p>
  </w:footnote>
  <w:footnote w:id="15">
    <w:p w14:paraId="64E4F8B1" w14:textId="77777777" w:rsidR="00FF6E33" w:rsidRPr="00E8467D" w:rsidRDefault="00FF6E33" w:rsidP="00E8467D">
      <w:pPr>
        <w:pStyle w:val="FootnoteText"/>
        <w:rPr>
          <w:sz w:val="16"/>
          <w:szCs w:val="16"/>
        </w:rPr>
      </w:pPr>
      <w:r w:rsidRPr="00E8467D">
        <w:rPr>
          <w:rStyle w:val="FootnoteReference"/>
          <w:sz w:val="16"/>
          <w:szCs w:val="16"/>
        </w:rPr>
        <w:footnoteRef/>
      </w:r>
      <w:r w:rsidRPr="00E8467D">
        <w:rPr>
          <w:sz w:val="16"/>
          <w:szCs w:val="16"/>
        </w:rPr>
        <w:t xml:space="preserve"> </w:t>
      </w:r>
      <w:hyperlink r:id="rId4" w:history="1">
        <w:r w:rsidRPr="00E8467D">
          <w:rPr>
            <w:rStyle w:val="Hyperlink"/>
            <w:sz w:val="16"/>
            <w:szCs w:val="16"/>
          </w:rPr>
          <w:t>https://www.cornwall.gov.uk/media/27944062/send-research-project-a-summary-of-what-works.pdf</w:t>
        </w:r>
      </w:hyperlink>
    </w:p>
  </w:footnote>
  <w:footnote w:id="16">
    <w:p w14:paraId="3F2590B7" w14:textId="77777777" w:rsidR="00771CF9" w:rsidRDefault="00771CF9" w:rsidP="00771CF9">
      <w:pPr>
        <w:pStyle w:val="FootnoteText"/>
      </w:pPr>
      <w:r>
        <w:rPr>
          <w:rStyle w:val="FootnoteReference"/>
        </w:rPr>
        <w:footnoteRef/>
      </w:r>
      <w:r>
        <w:t xml:space="preserve"> </w:t>
      </w:r>
      <w:r w:rsidRPr="00771CF9">
        <w:t>https://www.base-uk.org/what-supported-employment</w:t>
      </w:r>
    </w:p>
  </w:footnote>
  <w:footnote w:id="17">
    <w:p w14:paraId="1F2DA455" w14:textId="77777777" w:rsidR="007F7C8F" w:rsidRPr="00E8467D" w:rsidRDefault="007F7C8F" w:rsidP="007F7C8F">
      <w:pPr>
        <w:pStyle w:val="FootnoteText"/>
        <w:rPr>
          <w:sz w:val="16"/>
          <w:szCs w:val="16"/>
        </w:rPr>
      </w:pPr>
      <w:r w:rsidRPr="00E8467D">
        <w:rPr>
          <w:rStyle w:val="FootnoteReference"/>
          <w:sz w:val="16"/>
          <w:szCs w:val="16"/>
        </w:rPr>
        <w:footnoteRef/>
      </w:r>
      <w:r w:rsidRPr="00E8467D">
        <w:rPr>
          <w:sz w:val="16"/>
          <w:szCs w:val="16"/>
        </w:rPr>
        <w:t xml:space="preserve"> https://schoolsweek.co.uk/nearly-half-of-schools-fail-to-offer-work-experience-to-send-pupils/</w:t>
      </w:r>
    </w:p>
  </w:footnote>
  <w:footnote w:id="18">
    <w:p w14:paraId="35062147" w14:textId="77777777" w:rsidR="007F7C8F" w:rsidRPr="00E8467D" w:rsidRDefault="007F7C8F" w:rsidP="00E83B83">
      <w:pPr>
        <w:pStyle w:val="Default"/>
        <w:spacing w:after="42"/>
        <w:rPr>
          <w:rFonts w:ascii="Gill Sans MT" w:hAnsi="Gill Sans MT" w:cs="Tahoma"/>
          <w:color w:val="365F91" w:themeColor="accent1" w:themeShade="BF"/>
          <w:sz w:val="16"/>
          <w:szCs w:val="16"/>
        </w:rPr>
      </w:pPr>
      <w:r w:rsidRPr="00E8467D">
        <w:rPr>
          <w:rStyle w:val="FootnoteReference"/>
          <w:sz w:val="16"/>
          <w:szCs w:val="16"/>
        </w:rPr>
        <w:footnoteRef/>
      </w:r>
      <w:r w:rsidRPr="00E8467D">
        <w:rPr>
          <w:sz w:val="16"/>
          <w:szCs w:val="16"/>
        </w:rPr>
        <w:t xml:space="preserve"> </w:t>
      </w:r>
      <w:hyperlink r:id="rId5" w:history="1">
        <w:r w:rsidRPr="00E8467D">
          <w:rPr>
            <w:rStyle w:val="Hyperlink"/>
            <w:rFonts w:cs="Tahoma"/>
            <w:sz w:val="16"/>
            <w:szCs w:val="16"/>
          </w:rPr>
          <w:t>http://www.specialworld.net/2017/04/03/schools-struggling-to-offer-work-experience-placements-to-students-with-send/</w:t>
        </w:r>
      </w:hyperlink>
    </w:p>
  </w:footnote>
  <w:footnote w:id="19">
    <w:p w14:paraId="473776CF" w14:textId="77777777" w:rsidR="00771CF9" w:rsidRPr="00E8467D" w:rsidRDefault="00771CF9" w:rsidP="00771CF9">
      <w:pPr>
        <w:pStyle w:val="FootnoteText"/>
        <w:rPr>
          <w:sz w:val="16"/>
          <w:szCs w:val="16"/>
        </w:rPr>
      </w:pPr>
      <w:r w:rsidRPr="00E8467D">
        <w:rPr>
          <w:rStyle w:val="FootnoteReference"/>
          <w:sz w:val="16"/>
          <w:szCs w:val="16"/>
        </w:rPr>
        <w:footnoteRef/>
      </w:r>
      <w:r w:rsidRPr="00E8467D">
        <w:rPr>
          <w:sz w:val="16"/>
          <w:szCs w:val="16"/>
        </w:rPr>
        <w:t xml:space="preserve"> http://www.gettingalife.org.uk/resources.html</w:t>
      </w:r>
    </w:p>
  </w:footnote>
  <w:footnote w:id="20">
    <w:p w14:paraId="35D5D11F" w14:textId="77777777" w:rsidR="00296F8E" w:rsidRPr="00E8467D" w:rsidRDefault="00296F8E" w:rsidP="00296F8E">
      <w:pPr>
        <w:pStyle w:val="FootnoteText"/>
        <w:rPr>
          <w:sz w:val="16"/>
          <w:szCs w:val="16"/>
        </w:rPr>
      </w:pPr>
      <w:r w:rsidRPr="00E8467D">
        <w:rPr>
          <w:rStyle w:val="FootnoteReference"/>
          <w:sz w:val="16"/>
          <w:szCs w:val="16"/>
        </w:rPr>
        <w:footnoteRef/>
      </w:r>
      <w:r w:rsidRPr="00E8467D">
        <w:rPr>
          <w:sz w:val="16"/>
          <w:szCs w:val="16"/>
        </w:rPr>
        <w:t xml:space="preserve"> https://www.careersadviceforparents.org/2015/01/work-experience-whats-going-wrong.html</w:t>
      </w:r>
    </w:p>
  </w:footnote>
  <w:footnote w:id="21">
    <w:p w14:paraId="66C457A5" w14:textId="77777777" w:rsidR="00A44AB2" w:rsidRPr="00E8467D" w:rsidRDefault="00A44AB2" w:rsidP="00A44AB2">
      <w:pPr>
        <w:pStyle w:val="FootnoteText"/>
        <w:rPr>
          <w:sz w:val="16"/>
          <w:szCs w:val="16"/>
        </w:rPr>
      </w:pPr>
      <w:r w:rsidRPr="00E8467D">
        <w:rPr>
          <w:rStyle w:val="FootnoteReference"/>
          <w:sz w:val="16"/>
          <w:szCs w:val="16"/>
        </w:rPr>
        <w:footnoteRef/>
      </w:r>
      <w:r w:rsidRPr="00E8467D">
        <w:rPr>
          <w:sz w:val="16"/>
          <w:szCs w:val="16"/>
        </w:rPr>
        <w:t xml:space="preserve"> https://www.lepnetwork.net/resources/</w:t>
      </w:r>
    </w:p>
  </w:footnote>
  <w:footnote w:id="22">
    <w:p w14:paraId="1563366D" w14:textId="77777777" w:rsidR="00FC16B8" w:rsidRDefault="00FC16B8" w:rsidP="00FC16B8">
      <w:pPr>
        <w:pStyle w:val="FootnoteText"/>
      </w:pPr>
      <w:r>
        <w:rPr>
          <w:rStyle w:val="FootnoteReference"/>
        </w:rPr>
        <w:footnoteRef/>
      </w:r>
      <w:r>
        <w:t xml:space="preserve"> </w:t>
      </w:r>
      <w:r w:rsidRPr="00FC16B8">
        <w:t>https://www.cornwall.gov.uk/education-and-learning/education-business-partnership-ebp/work-experience-placements/the-platinum-providers-award-for-placement-providers/</w:t>
      </w:r>
    </w:p>
  </w:footnote>
  <w:footnote w:id="23">
    <w:p w14:paraId="1A2BB324" w14:textId="77777777" w:rsidR="00193237" w:rsidRPr="007E7DBA" w:rsidRDefault="00193237" w:rsidP="00193237">
      <w:pPr>
        <w:pStyle w:val="FootnoteText"/>
        <w:rPr>
          <w:sz w:val="16"/>
          <w:szCs w:val="16"/>
        </w:rPr>
      </w:pPr>
      <w:r w:rsidRPr="00E8467D">
        <w:rPr>
          <w:rStyle w:val="FootnoteReference"/>
          <w:sz w:val="16"/>
          <w:szCs w:val="16"/>
        </w:rPr>
        <w:footnoteRef/>
      </w:r>
      <w:r w:rsidRPr="00E8467D">
        <w:rPr>
          <w:sz w:val="16"/>
          <w:szCs w:val="16"/>
        </w:rPr>
        <w:t xml:space="preserve"> https://assets.publishing.service.gov.uk/government/uploads/system/uploads/attachment_data/file/447419/20150715_Cornwall_Devolution_Deal</w:t>
      </w:r>
      <w:r w:rsidRPr="007E7DBA">
        <w:rPr>
          <w:sz w:val="16"/>
          <w:szCs w:val="16"/>
        </w:rPr>
        <w:t>_-_FINAL_-_reformatted.pdf</w:t>
      </w:r>
    </w:p>
  </w:footnote>
  <w:footnote w:id="24">
    <w:p w14:paraId="198420C1" w14:textId="77777777" w:rsidR="007E7DBA" w:rsidRDefault="007E7DBA" w:rsidP="007E7DBA">
      <w:pPr>
        <w:pStyle w:val="FootnoteText"/>
      </w:pPr>
      <w:r w:rsidRPr="007E7DBA">
        <w:rPr>
          <w:rStyle w:val="FootnoteReference"/>
          <w:sz w:val="16"/>
          <w:szCs w:val="16"/>
        </w:rPr>
        <w:footnoteRef/>
      </w:r>
      <w:r w:rsidRPr="007E7DBA">
        <w:rPr>
          <w:sz w:val="16"/>
          <w:szCs w:val="16"/>
        </w:rPr>
        <w:t xml:space="preserve"> http://www.goodcareerguidance.org.uk/assets/file?filePath=__/home/7267-gatsby-a4-benchmarks-handbook-pages-aw-digi-spreads.pdf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4A3C" w14:textId="77777777" w:rsidR="00D1553B" w:rsidRDefault="00D1553B" w:rsidP="00DB12C2">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225757A"/>
    <w:multiLevelType w:val="hybridMultilevel"/>
    <w:tmpl w:val="AAA61A28"/>
    <w:lvl w:ilvl="0" w:tplc="CCCE7FC4">
      <w:start w:val="1"/>
      <w:numFmt w:val="bullet"/>
      <w:pStyle w:val="ListSub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37A053C"/>
    <w:multiLevelType w:val="hybridMultilevel"/>
    <w:tmpl w:val="E03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847325"/>
    <w:multiLevelType w:val="hybridMultilevel"/>
    <w:tmpl w:val="682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E347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FB1278"/>
    <w:multiLevelType w:val="hybridMultilevel"/>
    <w:tmpl w:val="277E7A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BF0CE6"/>
    <w:multiLevelType w:val="hybridMultilevel"/>
    <w:tmpl w:val="F76C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B3AB4"/>
    <w:multiLevelType w:val="hybridMultilevel"/>
    <w:tmpl w:val="E5E4F5C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D77FAA"/>
    <w:multiLevelType w:val="hybridMultilevel"/>
    <w:tmpl w:val="EF5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47AB2"/>
    <w:multiLevelType w:val="multilevel"/>
    <w:tmpl w:val="6C905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B2582A"/>
    <w:multiLevelType w:val="hybridMultilevel"/>
    <w:tmpl w:val="02FC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36DB9"/>
    <w:multiLevelType w:val="multilevel"/>
    <w:tmpl w:val="B2A4CC84"/>
    <w:styleLink w:val="Numbered"/>
    <w:lvl w:ilvl="0">
      <w:start w:val="1"/>
      <w:numFmt w:val="decimal"/>
      <w:lvlText w:val="%1."/>
      <w:lvlJc w:val="left"/>
      <w:pPr>
        <w:tabs>
          <w:tab w:val="num" w:pos="340"/>
        </w:tabs>
        <w:ind w:left="340" w:hanging="340"/>
      </w:pPr>
      <w:rPr>
        <w:rFonts w:hint="default"/>
      </w:rPr>
    </w:lvl>
    <w:lvl w:ilvl="1">
      <w:start w:val="1"/>
      <w:numFmt w:val="decimal"/>
      <w:lvlText w:val="%2.%1"/>
      <w:lvlJc w:val="left"/>
      <w:pPr>
        <w:tabs>
          <w:tab w:val="num" w:pos="794"/>
        </w:tabs>
        <w:ind w:left="1134" w:hanging="794"/>
      </w:pPr>
      <w:rPr>
        <w:rFonts w:hint="default"/>
      </w:rPr>
    </w:lvl>
    <w:lvl w:ilvl="2">
      <w:start w:val="1"/>
      <w:numFmt w:val="decimal"/>
      <w:lvlText w:val="%1.%3.%2"/>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0365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461438A"/>
    <w:multiLevelType w:val="multilevel"/>
    <w:tmpl w:val="01B86456"/>
    <w:lvl w:ilvl="0">
      <w:start w:val="1"/>
      <w:numFmt w:val="decimal"/>
      <w:pStyle w:val="Numberedpagesubheading"/>
      <w:lvlText w:val="%1."/>
      <w:lvlJc w:val="left"/>
      <w:pPr>
        <w:tabs>
          <w:tab w:val="num" w:pos="360"/>
        </w:tabs>
        <w:ind w:left="360" w:hanging="360"/>
      </w:pPr>
    </w:lvl>
    <w:lvl w:ilvl="1">
      <w:start w:val="1"/>
      <w:numFmt w:val="decimal"/>
      <w:pStyle w:val="Listnumbersleveltwo"/>
      <w:lvlText w:val="%1.%2."/>
      <w:lvlJc w:val="left"/>
      <w:pPr>
        <w:tabs>
          <w:tab w:val="num" w:pos="792"/>
        </w:tabs>
        <w:ind w:left="792" w:hanging="432"/>
      </w:pPr>
    </w:lvl>
    <w:lvl w:ilvl="2">
      <w:start w:val="1"/>
      <w:numFmt w:val="decimal"/>
      <w:pStyle w:val="Listnumberslevelthre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9037A5"/>
    <w:multiLevelType w:val="hybridMultilevel"/>
    <w:tmpl w:val="FD7E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34761"/>
    <w:multiLevelType w:val="multilevel"/>
    <w:tmpl w:val="CB003EBE"/>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3247900"/>
    <w:multiLevelType w:val="hybridMultilevel"/>
    <w:tmpl w:val="9FF6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419D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EF71ED"/>
    <w:multiLevelType w:val="hybridMultilevel"/>
    <w:tmpl w:val="A774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E056B"/>
    <w:multiLevelType w:val="multilevel"/>
    <w:tmpl w:val="0E3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2"/>
  </w:num>
  <w:num w:numId="4">
    <w:abstractNumId w:val="3"/>
  </w:num>
  <w:num w:numId="5">
    <w:abstractNumId w:val="2"/>
  </w:num>
  <w:num w:numId="6">
    <w:abstractNumId w:val="1"/>
  </w:num>
  <w:num w:numId="7">
    <w:abstractNumId w:val="0"/>
  </w:num>
  <w:num w:numId="8">
    <w:abstractNumId w:val="8"/>
  </w:num>
  <w:num w:numId="9">
    <w:abstractNumId w:val="16"/>
  </w:num>
  <w:num w:numId="10">
    <w:abstractNumId w:val="24"/>
  </w:num>
  <w:num w:numId="11">
    <w:abstractNumId w:val="18"/>
  </w:num>
  <w:num w:numId="12">
    <w:abstractNumId w:val="17"/>
  </w:num>
  <w:num w:numId="13">
    <w:abstractNumId w:val="15"/>
  </w:num>
  <w:num w:numId="14">
    <w:abstractNumId w:val="13"/>
  </w:num>
  <w:num w:numId="15">
    <w:abstractNumId w:val="5"/>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9"/>
  </w:num>
  <w:num w:numId="24">
    <w:abstractNumId w:val="7"/>
  </w:num>
  <w:num w:numId="25">
    <w:abstractNumId w:val="23"/>
  </w:num>
  <w:num w:numId="26">
    <w:abstractNumId w:val="11"/>
  </w:num>
  <w:num w:numId="27">
    <w:abstractNumId w:val="25"/>
  </w:num>
  <w:num w:numId="28">
    <w:abstractNumId w:val="6"/>
  </w:num>
  <w:num w:numId="29">
    <w:abstractNumId w:val="21"/>
  </w:num>
  <w:num w:numId="30">
    <w:abstractNumId w:val="12"/>
  </w:num>
  <w:num w:numId="31">
    <w:abstractNumId w:val="14"/>
  </w:num>
  <w:num w:numId="32">
    <w:abstractNumId w:val="10"/>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49"/>
    <w:rsid w:val="000052B9"/>
    <w:rsid w:val="00013455"/>
    <w:rsid w:val="00020D52"/>
    <w:rsid w:val="00024A60"/>
    <w:rsid w:val="00046317"/>
    <w:rsid w:val="00065336"/>
    <w:rsid w:val="0007352A"/>
    <w:rsid w:val="000A0178"/>
    <w:rsid w:val="000B173F"/>
    <w:rsid w:val="000C55E8"/>
    <w:rsid w:val="000C6B9C"/>
    <w:rsid w:val="000D0914"/>
    <w:rsid w:val="000E3B3A"/>
    <w:rsid w:val="000E44D1"/>
    <w:rsid w:val="000F07FC"/>
    <w:rsid w:val="000F5BDA"/>
    <w:rsid w:val="00102069"/>
    <w:rsid w:val="00104BAA"/>
    <w:rsid w:val="001150F9"/>
    <w:rsid w:val="00127840"/>
    <w:rsid w:val="0013111C"/>
    <w:rsid w:val="001329B3"/>
    <w:rsid w:val="00135FCA"/>
    <w:rsid w:val="001612B5"/>
    <w:rsid w:val="0017233E"/>
    <w:rsid w:val="00182F0E"/>
    <w:rsid w:val="001859BA"/>
    <w:rsid w:val="00193237"/>
    <w:rsid w:val="001A221D"/>
    <w:rsid w:val="001B0673"/>
    <w:rsid w:val="001B19FA"/>
    <w:rsid w:val="001B53B9"/>
    <w:rsid w:val="001B5A21"/>
    <w:rsid w:val="001B6F07"/>
    <w:rsid w:val="001C2F75"/>
    <w:rsid w:val="001C5715"/>
    <w:rsid w:val="001D0FDC"/>
    <w:rsid w:val="001D5845"/>
    <w:rsid w:val="001E55C4"/>
    <w:rsid w:val="001E7C3E"/>
    <w:rsid w:val="001E7FD6"/>
    <w:rsid w:val="001F3860"/>
    <w:rsid w:val="001F3977"/>
    <w:rsid w:val="00257852"/>
    <w:rsid w:val="00275E3B"/>
    <w:rsid w:val="002800F9"/>
    <w:rsid w:val="00296F8E"/>
    <w:rsid w:val="002B48A1"/>
    <w:rsid w:val="002B5C83"/>
    <w:rsid w:val="002C0F07"/>
    <w:rsid w:val="002C1025"/>
    <w:rsid w:val="002C1211"/>
    <w:rsid w:val="002D516A"/>
    <w:rsid w:val="002F6397"/>
    <w:rsid w:val="003060C9"/>
    <w:rsid w:val="0031356B"/>
    <w:rsid w:val="00324E86"/>
    <w:rsid w:val="00325C62"/>
    <w:rsid w:val="0033029C"/>
    <w:rsid w:val="00341EB2"/>
    <w:rsid w:val="003442BB"/>
    <w:rsid w:val="003474CA"/>
    <w:rsid w:val="00350F94"/>
    <w:rsid w:val="003604D0"/>
    <w:rsid w:val="00360F47"/>
    <w:rsid w:val="00365E39"/>
    <w:rsid w:val="00396458"/>
    <w:rsid w:val="003B167D"/>
    <w:rsid w:val="003B292B"/>
    <w:rsid w:val="003C3884"/>
    <w:rsid w:val="003D15A8"/>
    <w:rsid w:val="003D7606"/>
    <w:rsid w:val="003E157A"/>
    <w:rsid w:val="003F0240"/>
    <w:rsid w:val="003F312F"/>
    <w:rsid w:val="004117A3"/>
    <w:rsid w:val="00413E7A"/>
    <w:rsid w:val="00417CF7"/>
    <w:rsid w:val="00442167"/>
    <w:rsid w:val="00442429"/>
    <w:rsid w:val="0044452D"/>
    <w:rsid w:val="004722B4"/>
    <w:rsid w:val="00475742"/>
    <w:rsid w:val="00477399"/>
    <w:rsid w:val="00491C50"/>
    <w:rsid w:val="004936F2"/>
    <w:rsid w:val="00493AAC"/>
    <w:rsid w:val="0049603A"/>
    <w:rsid w:val="004B1B4C"/>
    <w:rsid w:val="004B2831"/>
    <w:rsid w:val="004B3F4B"/>
    <w:rsid w:val="004C2996"/>
    <w:rsid w:val="004D33B3"/>
    <w:rsid w:val="004D3C5F"/>
    <w:rsid w:val="004E550C"/>
    <w:rsid w:val="004F1BB1"/>
    <w:rsid w:val="00502E65"/>
    <w:rsid w:val="005067D0"/>
    <w:rsid w:val="00521D93"/>
    <w:rsid w:val="005276CD"/>
    <w:rsid w:val="00586002"/>
    <w:rsid w:val="00597368"/>
    <w:rsid w:val="005B7346"/>
    <w:rsid w:val="005D10DF"/>
    <w:rsid w:val="005E0D31"/>
    <w:rsid w:val="005E2CFE"/>
    <w:rsid w:val="005E42F4"/>
    <w:rsid w:val="00600913"/>
    <w:rsid w:val="006237CB"/>
    <w:rsid w:val="006332C5"/>
    <w:rsid w:val="00647FC3"/>
    <w:rsid w:val="00650474"/>
    <w:rsid w:val="006559AC"/>
    <w:rsid w:val="006600B4"/>
    <w:rsid w:val="006613E7"/>
    <w:rsid w:val="00672AFD"/>
    <w:rsid w:val="00676DC6"/>
    <w:rsid w:val="006773F5"/>
    <w:rsid w:val="00697B87"/>
    <w:rsid w:val="006A43C3"/>
    <w:rsid w:val="006C76B9"/>
    <w:rsid w:val="006C7F63"/>
    <w:rsid w:val="006D567D"/>
    <w:rsid w:val="006E0000"/>
    <w:rsid w:val="006E35F8"/>
    <w:rsid w:val="006E38B9"/>
    <w:rsid w:val="006F03D5"/>
    <w:rsid w:val="00701243"/>
    <w:rsid w:val="00712B31"/>
    <w:rsid w:val="00717BAE"/>
    <w:rsid w:val="00720856"/>
    <w:rsid w:val="00734749"/>
    <w:rsid w:val="0074020A"/>
    <w:rsid w:val="00770C23"/>
    <w:rsid w:val="00771CF9"/>
    <w:rsid w:val="00772D06"/>
    <w:rsid w:val="007773AD"/>
    <w:rsid w:val="007A31B5"/>
    <w:rsid w:val="007B2360"/>
    <w:rsid w:val="007D3F84"/>
    <w:rsid w:val="007E1AE0"/>
    <w:rsid w:val="007E7DBA"/>
    <w:rsid w:val="007F7C8F"/>
    <w:rsid w:val="00812B7B"/>
    <w:rsid w:val="008150BD"/>
    <w:rsid w:val="00821796"/>
    <w:rsid w:val="00833A2A"/>
    <w:rsid w:val="008404AC"/>
    <w:rsid w:val="008531EB"/>
    <w:rsid w:val="00857D86"/>
    <w:rsid w:val="00865BE2"/>
    <w:rsid w:val="00872994"/>
    <w:rsid w:val="00882087"/>
    <w:rsid w:val="008862A3"/>
    <w:rsid w:val="008A24E4"/>
    <w:rsid w:val="008A2CD3"/>
    <w:rsid w:val="008C4550"/>
    <w:rsid w:val="008C75AC"/>
    <w:rsid w:val="008E2BC5"/>
    <w:rsid w:val="008F0628"/>
    <w:rsid w:val="00903C2B"/>
    <w:rsid w:val="00912644"/>
    <w:rsid w:val="0092111A"/>
    <w:rsid w:val="00921826"/>
    <w:rsid w:val="0095319F"/>
    <w:rsid w:val="00971C00"/>
    <w:rsid w:val="00981B42"/>
    <w:rsid w:val="009821CB"/>
    <w:rsid w:val="0098718F"/>
    <w:rsid w:val="009A06F6"/>
    <w:rsid w:val="009B5C25"/>
    <w:rsid w:val="009F3713"/>
    <w:rsid w:val="00A1176E"/>
    <w:rsid w:val="00A44AB2"/>
    <w:rsid w:val="00A508E0"/>
    <w:rsid w:val="00A56D29"/>
    <w:rsid w:val="00A7721C"/>
    <w:rsid w:val="00A8085B"/>
    <w:rsid w:val="00A8197E"/>
    <w:rsid w:val="00AA1D9E"/>
    <w:rsid w:val="00AC3A29"/>
    <w:rsid w:val="00AD2DAC"/>
    <w:rsid w:val="00AD6559"/>
    <w:rsid w:val="00AD7650"/>
    <w:rsid w:val="00B10CA9"/>
    <w:rsid w:val="00B2791A"/>
    <w:rsid w:val="00B461EA"/>
    <w:rsid w:val="00B57365"/>
    <w:rsid w:val="00B638CD"/>
    <w:rsid w:val="00B63BC9"/>
    <w:rsid w:val="00B63E84"/>
    <w:rsid w:val="00B76807"/>
    <w:rsid w:val="00B80159"/>
    <w:rsid w:val="00B83776"/>
    <w:rsid w:val="00B951E8"/>
    <w:rsid w:val="00BA61E7"/>
    <w:rsid w:val="00BD132E"/>
    <w:rsid w:val="00BD7960"/>
    <w:rsid w:val="00BE2359"/>
    <w:rsid w:val="00BE4C94"/>
    <w:rsid w:val="00BF3E8B"/>
    <w:rsid w:val="00C04B4B"/>
    <w:rsid w:val="00C12552"/>
    <w:rsid w:val="00C24178"/>
    <w:rsid w:val="00C4035C"/>
    <w:rsid w:val="00C51C03"/>
    <w:rsid w:val="00C573DE"/>
    <w:rsid w:val="00C61A39"/>
    <w:rsid w:val="00C66348"/>
    <w:rsid w:val="00C7350F"/>
    <w:rsid w:val="00C75D61"/>
    <w:rsid w:val="00C7618D"/>
    <w:rsid w:val="00C77F38"/>
    <w:rsid w:val="00C8143F"/>
    <w:rsid w:val="00CC7E86"/>
    <w:rsid w:val="00CD1946"/>
    <w:rsid w:val="00CD20ED"/>
    <w:rsid w:val="00CD5FF0"/>
    <w:rsid w:val="00CD7C29"/>
    <w:rsid w:val="00CE3873"/>
    <w:rsid w:val="00CE70A7"/>
    <w:rsid w:val="00CF63CC"/>
    <w:rsid w:val="00CF7DE8"/>
    <w:rsid w:val="00D10012"/>
    <w:rsid w:val="00D1553B"/>
    <w:rsid w:val="00D446F1"/>
    <w:rsid w:val="00D56895"/>
    <w:rsid w:val="00D678AD"/>
    <w:rsid w:val="00D67F7D"/>
    <w:rsid w:val="00D71723"/>
    <w:rsid w:val="00D72412"/>
    <w:rsid w:val="00DA0C9A"/>
    <w:rsid w:val="00DA11E7"/>
    <w:rsid w:val="00DB07CC"/>
    <w:rsid w:val="00DB12C2"/>
    <w:rsid w:val="00DB7F5C"/>
    <w:rsid w:val="00DD3BF0"/>
    <w:rsid w:val="00DE38B6"/>
    <w:rsid w:val="00E0542E"/>
    <w:rsid w:val="00E2575F"/>
    <w:rsid w:val="00E33655"/>
    <w:rsid w:val="00E36122"/>
    <w:rsid w:val="00E5635D"/>
    <w:rsid w:val="00E579CC"/>
    <w:rsid w:val="00E618E8"/>
    <w:rsid w:val="00E6367F"/>
    <w:rsid w:val="00E7586E"/>
    <w:rsid w:val="00E83B83"/>
    <w:rsid w:val="00E8467D"/>
    <w:rsid w:val="00E95A21"/>
    <w:rsid w:val="00EB0F13"/>
    <w:rsid w:val="00EC6D9C"/>
    <w:rsid w:val="00EC72AB"/>
    <w:rsid w:val="00EE0D43"/>
    <w:rsid w:val="00EF021F"/>
    <w:rsid w:val="00EF2856"/>
    <w:rsid w:val="00EF3A56"/>
    <w:rsid w:val="00F1604D"/>
    <w:rsid w:val="00F21A5E"/>
    <w:rsid w:val="00F2677D"/>
    <w:rsid w:val="00F30C83"/>
    <w:rsid w:val="00F353FE"/>
    <w:rsid w:val="00F37A1A"/>
    <w:rsid w:val="00F4105A"/>
    <w:rsid w:val="00F41584"/>
    <w:rsid w:val="00F473DF"/>
    <w:rsid w:val="00F5232D"/>
    <w:rsid w:val="00F5614A"/>
    <w:rsid w:val="00F56C55"/>
    <w:rsid w:val="00F630A7"/>
    <w:rsid w:val="00F64B37"/>
    <w:rsid w:val="00F6646D"/>
    <w:rsid w:val="00F74B7B"/>
    <w:rsid w:val="00F750BE"/>
    <w:rsid w:val="00F811C3"/>
    <w:rsid w:val="00F81D30"/>
    <w:rsid w:val="00FA2159"/>
    <w:rsid w:val="00FA4AF6"/>
    <w:rsid w:val="00FC16B8"/>
    <w:rsid w:val="00FE0311"/>
    <w:rsid w:val="00FE29BB"/>
    <w:rsid w:val="00FE439A"/>
    <w:rsid w:val="00FF316E"/>
    <w:rsid w:val="00FF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FBA352"/>
  <w15:docId w15:val="{A8C4F2ED-3A6B-4749-9EAB-008935A4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5">
    <w:lsdException w:name="Normal" w:uiPriority="5"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5"/>
    <w:qFormat/>
    <w:rsid w:val="00D56895"/>
    <w:pPr>
      <w:numPr>
        <w:numId w:val="12"/>
      </w:numPr>
      <w:spacing w:before="120"/>
    </w:pPr>
  </w:style>
  <w:style w:type="paragraph" w:styleId="Heading1">
    <w:name w:val="heading 1"/>
    <w:basedOn w:val="Normal"/>
    <w:next w:val="Normal"/>
    <w:semiHidden/>
    <w:qFormat/>
    <w:rsid w:val="00477399"/>
    <w:pPr>
      <w:keepNext/>
      <w:numPr>
        <w:numId w:val="0"/>
      </w:numPr>
      <w:outlineLvl w:val="0"/>
    </w:pPr>
    <w:rPr>
      <w:b/>
      <w:bCs/>
      <w:caps/>
      <w:kern w:val="32"/>
      <w:sz w:val="26"/>
      <w:szCs w:val="26"/>
    </w:rPr>
  </w:style>
  <w:style w:type="paragraph" w:styleId="Heading2">
    <w:name w:val="heading 2"/>
    <w:basedOn w:val="Normal"/>
    <w:next w:val="Normal"/>
    <w:semiHidden/>
    <w:qFormat/>
    <w:rsid w:val="00477399"/>
    <w:pPr>
      <w:keepNext/>
      <w:numPr>
        <w:numId w:val="0"/>
      </w:numPr>
      <w:outlineLvl w:val="1"/>
    </w:pPr>
    <w:rPr>
      <w:b/>
      <w:bCs/>
      <w:kern w:val="32"/>
      <w:szCs w:val="32"/>
    </w:rPr>
  </w:style>
  <w:style w:type="paragraph" w:styleId="Heading3">
    <w:name w:val="heading 3"/>
    <w:basedOn w:val="Normal"/>
    <w:next w:val="Normal"/>
    <w:semiHidden/>
    <w:qFormat/>
    <w:rsid w:val="00477399"/>
    <w:pPr>
      <w:keepNext/>
      <w:numPr>
        <w:numId w:val="0"/>
      </w:numPr>
      <w:outlineLvl w:val="2"/>
    </w:pPr>
    <w:rPr>
      <w:b/>
      <w:bCs/>
      <w:caps/>
      <w:sz w:val="28"/>
      <w:szCs w:val="26"/>
    </w:rPr>
  </w:style>
  <w:style w:type="paragraph" w:styleId="Heading4">
    <w:name w:val="heading 4"/>
    <w:basedOn w:val="Normal"/>
    <w:next w:val="Normal"/>
    <w:semiHidden/>
    <w:qFormat/>
    <w:rsid w:val="00477399"/>
    <w:pPr>
      <w:keepNext/>
      <w:numPr>
        <w:numId w:val="0"/>
      </w:numPr>
      <w:outlineLvl w:val="3"/>
    </w:pPr>
    <w:rPr>
      <w:b/>
      <w:bCs/>
      <w:szCs w:val="28"/>
    </w:rPr>
  </w:style>
  <w:style w:type="paragraph" w:styleId="Heading5">
    <w:name w:val="heading 5"/>
    <w:basedOn w:val="Normal"/>
    <w:next w:val="Normal"/>
    <w:semiHidden/>
    <w:qFormat/>
    <w:rsid w:val="00477399"/>
    <w:pPr>
      <w:numPr>
        <w:ilvl w:val="4"/>
      </w:numPr>
      <w:spacing w:before="240" w:after="60"/>
      <w:outlineLvl w:val="4"/>
    </w:pPr>
    <w:rPr>
      <w:b/>
      <w:bCs/>
      <w:i/>
      <w:iCs/>
      <w:sz w:val="26"/>
      <w:szCs w:val="26"/>
    </w:rPr>
  </w:style>
  <w:style w:type="paragraph" w:styleId="Heading6">
    <w:name w:val="heading 6"/>
    <w:basedOn w:val="Normal"/>
    <w:next w:val="Normal"/>
    <w:semiHidden/>
    <w:qFormat/>
    <w:rsid w:val="00477399"/>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477399"/>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477399"/>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477399"/>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477399"/>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AC3A29"/>
    <w:pPr>
      <w:numPr>
        <w:numId w:val="22"/>
      </w:numPr>
      <w:tabs>
        <w:tab w:val="clear" w:pos="360"/>
      </w:tabs>
      <w:ind w:left="567" w:hanging="567"/>
    </w:pPr>
    <w:rPr>
      <w:rFonts w:eastAsia="Arial"/>
      <w:b/>
      <w:lang w:val="en"/>
    </w:rPr>
  </w:style>
  <w:style w:type="paragraph" w:styleId="Footer">
    <w:name w:val="footer"/>
    <w:basedOn w:val="Normal"/>
    <w:link w:val="FooterChar"/>
    <w:semiHidden/>
    <w:rsid w:val="00477399"/>
    <w:pPr>
      <w:numPr>
        <w:numId w:val="0"/>
      </w:numPr>
      <w:tabs>
        <w:tab w:val="right" w:pos="9923"/>
      </w:tabs>
    </w:pPr>
    <w:rPr>
      <w:sz w:val="20"/>
    </w:rPr>
  </w:style>
  <w:style w:type="character" w:customStyle="1" w:styleId="FooterChar">
    <w:name w:val="Footer Char"/>
    <w:basedOn w:val="DefaultParagraphFont"/>
    <w:link w:val="Footer"/>
    <w:semiHidden/>
    <w:rsid w:val="00477399"/>
    <w:rPr>
      <w:sz w:val="20"/>
    </w:rPr>
  </w:style>
  <w:style w:type="paragraph" w:customStyle="1" w:styleId="FooterCaps">
    <w:name w:val="Footer Caps"/>
    <w:basedOn w:val="Normal"/>
    <w:link w:val="FooterCapsCharChar"/>
    <w:semiHidden/>
    <w:rsid w:val="00477399"/>
    <w:pPr>
      <w:numPr>
        <w:numId w:val="0"/>
      </w:numPr>
      <w:tabs>
        <w:tab w:val="right" w:pos="9576"/>
      </w:tabs>
    </w:pPr>
    <w:rPr>
      <w:caps/>
      <w:sz w:val="20"/>
      <w:szCs w:val="20"/>
    </w:rPr>
  </w:style>
  <w:style w:type="paragraph" w:customStyle="1" w:styleId="Bulleted">
    <w:name w:val="Bulleted"/>
    <w:basedOn w:val="Normal"/>
    <w:semiHidden/>
    <w:rsid w:val="00477399"/>
    <w:pPr>
      <w:numPr>
        <w:numId w:val="0"/>
      </w:numPr>
    </w:pPr>
  </w:style>
  <w:style w:type="character" w:customStyle="1" w:styleId="FooterCapsCharChar">
    <w:name w:val="Footer Caps Char Char"/>
    <w:basedOn w:val="DefaultParagraphFont"/>
    <w:link w:val="FooterCaps"/>
    <w:semiHidden/>
    <w:rsid w:val="00477399"/>
    <w:rPr>
      <w:caps/>
      <w:sz w:val="20"/>
      <w:szCs w:val="20"/>
    </w:rPr>
  </w:style>
  <w:style w:type="paragraph" w:customStyle="1" w:styleId="Highlighttext">
    <w:name w:val="Highlight text"/>
    <w:basedOn w:val="Normal"/>
    <w:next w:val="Normal"/>
    <w:link w:val="HighlighttextChar"/>
    <w:uiPriority w:val="12"/>
    <w:qFormat/>
    <w:rsid w:val="00477399"/>
    <w:pPr>
      <w:numPr>
        <w:numId w:val="0"/>
      </w:num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47739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477399"/>
    <w:rPr>
      <w:rFonts w:ascii="Gill Sans MT" w:hAnsi="Gill Sans MT"/>
      <w:color w:val="008000"/>
      <w:sz w:val="24"/>
      <w:u w:val="single"/>
    </w:rPr>
  </w:style>
  <w:style w:type="numbering" w:styleId="111111">
    <w:name w:val="Outline List 2"/>
    <w:basedOn w:val="NoList"/>
    <w:semiHidden/>
    <w:rsid w:val="00477399"/>
    <w:pPr>
      <w:numPr>
        <w:numId w:val="9"/>
      </w:numPr>
    </w:pPr>
  </w:style>
  <w:style w:type="paragraph" w:customStyle="1" w:styleId="ListNumbers">
    <w:name w:val="List Numbers"/>
    <w:basedOn w:val="Normal"/>
    <w:uiPriority w:val="8"/>
    <w:qFormat/>
    <w:rsid w:val="008A2CD3"/>
    <w:pPr>
      <w:numPr>
        <w:ilvl w:val="1"/>
      </w:numPr>
      <w:tabs>
        <w:tab w:val="clear" w:pos="567"/>
        <w:tab w:val="left" w:pos="284"/>
      </w:tabs>
    </w:pPr>
    <w:rPr>
      <w:szCs w:val="20"/>
      <w:lang w:val="en"/>
    </w:rPr>
  </w:style>
  <w:style w:type="paragraph" w:customStyle="1" w:styleId="Documenttitle">
    <w:name w:val="Document title"/>
    <w:basedOn w:val="Normal"/>
    <w:next w:val="Documentsubtitle"/>
    <w:qFormat/>
    <w:rsid w:val="00477399"/>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477399"/>
    <w:pPr>
      <w:keepNext/>
      <w:numPr>
        <w:numId w:val="0"/>
      </w:numPr>
      <w:spacing w:before="40" w:line="228" w:lineRule="auto"/>
      <w:ind w:left="113" w:right="1701"/>
    </w:pPr>
    <w:rPr>
      <w:kern w:val="32"/>
      <w:sz w:val="28"/>
    </w:rPr>
  </w:style>
  <w:style w:type="paragraph" w:styleId="Header">
    <w:name w:val="header"/>
    <w:basedOn w:val="Normal"/>
    <w:semiHidden/>
    <w:rsid w:val="00477399"/>
    <w:pPr>
      <w:numPr>
        <w:numId w:val="0"/>
      </w:numPr>
      <w:tabs>
        <w:tab w:val="center" w:pos="4320"/>
        <w:tab w:val="right" w:pos="8640"/>
      </w:tabs>
    </w:pPr>
  </w:style>
  <w:style w:type="paragraph" w:styleId="ListBullet">
    <w:name w:val="List Bullet"/>
    <w:basedOn w:val="Normal"/>
    <w:uiPriority w:val="6"/>
    <w:qFormat/>
    <w:rsid w:val="00AD7650"/>
    <w:pPr>
      <w:numPr>
        <w:numId w:val="3"/>
      </w:numPr>
      <w:tabs>
        <w:tab w:val="clear" w:pos="567"/>
      </w:tabs>
    </w:pPr>
    <w:rPr>
      <w:lang w:val="en"/>
    </w:rPr>
  </w:style>
  <w:style w:type="paragraph" w:styleId="BodyText">
    <w:name w:val="Body Text"/>
    <w:basedOn w:val="Normal"/>
    <w:semiHidden/>
    <w:rsid w:val="00477399"/>
    <w:pPr>
      <w:numPr>
        <w:numId w:val="0"/>
      </w:numPr>
      <w:spacing w:after="120"/>
    </w:pPr>
  </w:style>
  <w:style w:type="paragraph" w:styleId="ListBullet2">
    <w:name w:val="List Bullet 2"/>
    <w:basedOn w:val="Normal"/>
    <w:semiHidden/>
    <w:rsid w:val="00477399"/>
    <w:pPr>
      <w:numPr>
        <w:ilvl w:val="1"/>
        <w:numId w:val="3"/>
      </w:numPr>
    </w:pPr>
  </w:style>
  <w:style w:type="numbering" w:styleId="1ai">
    <w:name w:val="Outline List 1"/>
    <w:basedOn w:val="NoList"/>
    <w:semiHidden/>
    <w:rsid w:val="00477399"/>
    <w:pPr>
      <w:numPr>
        <w:numId w:val="8"/>
      </w:numPr>
    </w:pPr>
  </w:style>
  <w:style w:type="paragraph" w:styleId="ListBullet3">
    <w:name w:val="List Bullet 3"/>
    <w:basedOn w:val="Normal"/>
    <w:semiHidden/>
    <w:rsid w:val="00477399"/>
    <w:pPr>
      <w:numPr>
        <w:ilvl w:val="2"/>
        <w:numId w:val="3"/>
      </w:numPr>
    </w:pPr>
  </w:style>
  <w:style w:type="paragraph" w:styleId="ListBullet4">
    <w:name w:val="List Bullet 4"/>
    <w:basedOn w:val="Normal"/>
    <w:semiHidden/>
    <w:rsid w:val="00477399"/>
    <w:pPr>
      <w:numPr>
        <w:ilvl w:val="3"/>
        <w:numId w:val="3"/>
      </w:numPr>
    </w:pPr>
  </w:style>
  <w:style w:type="paragraph" w:styleId="ListBullet5">
    <w:name w:val="List Bullet 5"/>
    <w:basedOn w:val="Normal"/>
    <w:semiHidden/>
    <w:rsid w:val="00477399"/>
    <w:pPr>
      <w:numPr>
        <w:ilvl w:val="4"/>
        <w:numId w:val="3"/>
      </w:numPr>
    </w:pPr>
  </w:style>
  <w:style w:type="character" w:customStyle="1" w:styleId="HighlighttextChar">
    <w:name w:val="Highlight text Char"/>
    <w:basedOn w:val="DefaultParagraphFont"/>
    <w:link w:val="Highlighttext"/>
    <w:uiPriority w:val="12"/>
    <w:rsid w:val="00477399"/>
    <w:rPr>
      <w:shd w:val="clear" w:color="auto" w:fill="D9D9D9"/>
    </w:rPr>
  </w:style>
  <w:style w:type="numbering" w:styleId="ArticleSection">
    <w:name w:val="Outline List 3"/>
    <w:basedOn w:val="NoList"/>
    <w:semiHidden/>
    <w:rsid w:val="00477399"/>
    <w:pPr>
      <w:numPr>
        <w:numId w:val="10"/>
      </w:numPr>
    </w:pPr>
  </w:style>
  <w:style w:type="paragraph" w:styleId="BlockText">
    <w:name w:val="Block Text"/>
    <w:basedOn w:val="Normal"/>
    <w:semiHidden/>
    <w:rsid w:val="00477399"/>
    <w:pPr>
      <w:numPr>
        <w:numId w:val="0"/>
      </w:numPr>
      <w:spacing w:after="120"/>
      <w:ind w:right="1440"/>
    </w:pPr>
  </w:style>
  <w:style w:type="paragraph" w:styleId="BodyText2">
    <w:name w:val="Body Text 2"/>
    <w:basedOn w:val="Normal"/>
    <w:semiHidden/>
    <w:rsid w:val="00477399"/>
    <w:pPr>
      <w:numPr>
        <w:numId w:val="0"/>
      </w:numPr>
      <w:spacing w:after="120" w:line="480" w:lineRule="auto"/>
    </w:pPr>
  </w:style>
  <w:style w:type="paragraph" w:styleId="BodyText3">
    <w:name w:val="Body Text 3"/>
    <w:basedOn w:val="Normal"/>
    <w:semiHidden/>
    <w:rsid w:val="00477399"/>
    <w:pPr>
      <w:numPr>
        <w:numId w:val="0"/>
      </w:numPr>
      <w:spacing w:after="120"/>
    </w:pPr>
    <w:rPr>
      <w:sz w:val="16"/>
      <w:szCs w:val="16"/>
    </w:rPr>
  </w:style>
  <w:style w:type="paragraph" w:styleId="BodyTextFirstIndent">
    <w:name w:val="Body Text First Indent"/>
    <w:basedOn w:val="BodyText"/>
    <w:semiHidden/>
    <w:rsid w:val="00477399"/>
  </w:style>
  <w:style w:type="paragraph" w:styleId="BodyTextIndent">
    <w:name w:val="Body Text Indent"/>
    <w:basedOn w:val="Normal"/>
    <w:semiHidden/>
    <w:rsid w:val="00477399"/>
    <w:pPr>
      <w:numPr>
        <w:numId w:val="0"/>
      </w:numPr>
      <w:spacing w:after="120"/>
    </w:pPr>
  </w:style>
  <w:style w:type="paragraph" w:styleId="BodyTextFirstIndent2">
    <w:name w:val="Body Text First Indent 2"/>
    <w:basedOn w:val="BodyTextIndent"/>
    <w:semiHidden/>
    <w:rsid w:val="00477399"/>
  </w:style>
  <w:style w:type="paragraph" w:styleId="BodyTextIndent2">
    <w:name w:val="Body Text Indent 2"/>
    <w:basedOn w:val="Normal"/>
    <w:semiHidden/>
    <w:rsid w:val="00477399"/>
    <w:pPr>
      <w:numPr>
        <w:numId w:val="0"/>
      </w:numPr>
      <w:spacing w:after="120" w:line="480" w:lineRule="auto"/>
    </w:pPr>
  </w:style>
  <w:style w:type="paragraph" w:styleId="BodyTextIndent3">
    <w:name w:val="Body Text Indent 3"/>
    <w:basedOn w:val="Normal"/>
    <w:semiHidden/>
    <w:rsid w:val="00477399"/>
    <w:pPr>
      <w:numPr>
        <w:numId w:val="0"/>
      </w:numPr>
      <w:spacing w:after="120"/>
    </w:pPr>
    <w:rPr>
      <w:sz w:val="16"/>
      <w:szCs w:val="16"/>
    </w:rPr>
  </w:style>
  <w:style w:type="paragraph" w:styleId="Closing">
    <w:name w:val="Closing"/>
    <w:basedOn w:val="Normal"/>
    <w:semiHidden/>
    <w:rsid w:val="00477399"/>
    <w:pPr>
      <w:numPr>
        <w:numId w:val="0"/>
      </w:numPr>
    </w:pPr>
  </w:style>
  <w:style w:type="paragraph" w:styleId="Date">
    <w:name w:val="Date"/>
    <w:basedOn w:val="Normal"/>
    <w:next w:val="Normal"/>
    <w:semiHidden/>
    <w:rsid w:val="00477399"/>
    <w:pPr>
      <w:numPr>
        <w:numId w:val="0"/>
      </w:numPr>
    </w:pPr>
  </w:style>
  <w:style w:type="paragraph" w:styleId="E-mailSignature">
    <w:name w:val="E-mail Signature"/>
    <w:basedOn w:val="Normal"/>
    <w:semiHidden/>
    <w:rsid w:val="00477399"/>
    <w:pPr>
      <w:numPr>
        <w:numId w:val="0"/>
      </w:numPr>
    </w:pPr>
  </w:style>
  <w:style w:type="character" w:styleId="Emphasis">
    <w:name w:val="Emphasis"/>
    <w:basedOn w:val="DefaultParagraphFont"/>
    <w:semiHidden/>
    <w:qFormat/>
    <w:rsid w:val="00477399"/>
    <w:rPr>
      <w:i/>
      <w:iCs/>
    </w:rPr>
  </w:style>
  <w:style w:type="paragraph" w:styleId="EnvelopeAddress">
    <w:name w:val="envelope address"/>
    <w:basedOn w:val="Normal"/>
    <w:semiHidden/>
    <w:rsid w:val="00477399"/>
    <w:pPr>
      <w:framePr w:w="7920" w:h="1980" w:hRule="exact" w:hSpace="180" w:wrap="auto" w:hAnchor="page" w:xAlign="center" w:yAlign="bottom"/>
      <w:numPr>
        <w:numId w:val="0"/>
      </w:numPr>
    </w:pPr>
    <w:rPr>
      <w:rFonts w:ascii="Arial" w:hAnsi="Arial"/>
    </w:rPr>
  </w:style>
  <w:style w:type="paragraph" w:styleId="EnvelopeReturn">
    <w:name w:val="envelope return"/>
    <w:basedOn w:val="Normal"/>
    <w:semiHidden/>
    <w:rsid w:val="00477399"/>
    <w:pPr>
      <w:numPr>
        <w:numId w:val="0"/>
      </w:numPr>
    </w:pPr>
    <w:rPr>
      <w:rFonts w:ascii="Arial" w:hAnsi="Arial"/>
      <w:sz w:val="20"/>
      <w:szCs w:val="20"/>
    </w:rPr>
  </w:style>
  <w:style w:type="character" w:styleId="FollowedHyperlink">
    <w:name w:val="FollowedHyperlink"/>
    <w:basedOn w:val="DefaultParagraphFont"/>
    <w:semiHidden/>
    <w:rsid w:val="00477399"/>
    <w:rPr>
      <w:color w:val="800080"/>
      <w:u w:val="single"/>
    </w:rPr>
  </w:style>
  <w:style w:type="character" w:styleId="HTMLAcronym">
    <w:name w:val="HTML Acronym"/>
    <w:basedOn w:val="DefaultParagraphFont"/>
    <w:semiHidden/>
    <w:rsid w:val="00477399"/>
  </w:style>
  <w:style w:type="paragraph" w:styleId="HTMLAddress">
    <w:name w:val="HTML Address"/>
    <w:basedOn w:val="Normal"/>
    <w:semiHidden/>
    <w:rsid w:val="00477399"/>
    <w:pPr>
      <w:numPr>
        <w:numId w:val="0"/>
      </w:numPr>
    </w:pPr>
    <w:rPr>
      <w:i/>
      <w:iCs/>
    </w:rPr>
  </w:style>
  <w:style w:type="character" w:styleId="HTMLCite">
    <w:name w:val="HTML Cite"/>
    <w:basedOn w:val="DefaultParagraphFont"/>
    <w:semiHidden/>
    <w:rsid w:val="00477399"/>
    <w:rPr>
      <w:i/>
      <w:iCs/>
    </w:rPr>
  </w:style>
  <w:style w:type="character" w:styleId="HTMLCode">
    <w:name w:val="HTML Code"/>
    <w:basedOn w:val="DefaultParagraphFont"/>
    <w:semiHidden/>
    <w:rsid w:val="00477399"/>
    <w:rPr>
      <w:rFonts w:ascii="Courier New" w:hAnsi="Courier New" w:cs="Courier New"/>
      <w:sz w:val="20"/>
      <w:szCs w:val="20"/>
    </w:rPr>
  </w:style>
  <w:style w:type="character" w:styleId="HTMLDefinition">
    <w:name w:val="HTML Definition"/>
    <w:basedOn w:val="DefaultParagraphFont"/>
    <w:semiHidden/>
    <w:rsid w:val="00477399"/>
    <w:rPr>
      <w:i/>
      <w:iCs/>
    </w:rPr>
  </w:style>
  <w:style w:type="character" w:styleId="HTMLKeyboard">
    <w:name w:val="HTML Keyboard"/>
    <w:basedOn w:val="DefaultParagraphFont"/>
    <w:semiHidden/>
    <w:rsid w:val="00477399"/>
    <w:rPr>
      <w:rFonts w:ascii="Courier New" w:hAnsi="Courier New" w:cs="Courier New"/>
      <w:sz w:val="20"/>
      <w:szCs w:val="20"/>
    </w:rPr>
  </w:style>
  <w:style w:type="paragraph" w:styleId="HTMLPreformatted">
    <w:name w:val="HTML Preformatted"/>
    <w:basedOn w:val="Normal"/>
    <w:semiHidden/>
    <w:rsid w:val="00477399"/>
    <w:pPr>
      <w:numPr>
        <w:numId w:val="0"/>
      </w:numPr>
    </w:pPr>
    <w:rPr>
      <w:rFonts w:ascii="Courier New" w:hAnsi="Courier New" w:cs="Courier New"/>
      <w:sz w:val="20"/>
      <w:szCs w:val="20"/>
    </w:rPr>
  </w:style>
  <w:style w:type="character" w:styleId="HTMLSample">
    <w:name w:val="HTML Sample"/>
    <w:basedOn w:val="DefaultParagraphFont"/>
    <w:semiHidden/>
    <w:rsid w:val="00477399"/>
    <w:rPr>
      <w:rFonts w:ascii="Courier New" w:hAnsi="Courier New" w:cs="Courier New"/>
    </w:rPr>
  </w:style>
  <w:style w:type="character" w:styleId="HTMLTypewriter">
    <w:name w:val="HTML Typewriter"/>
    <w:basedOn w:val="DefaultParagraphFont"/>
    <w:semiHidden/>
    <w:rsid w:val="00477399"/>
    <w:rPr>
      <w:rFonts w:ascii="Courier New" w:hAnsi="Courier New" w:cs="Courier New"/>
      <w:sz w:val="20"/>
      <w:szCs w:val="20"/>
    </w:rPr>
  </w:style>
  <w:style w:type="character" w:styleId="HTMLVariable">
    <w:name w:val="HTML Variable"/>
    <w:basedOn w:val="DefaultParagraphFont"/>
    <w:semiHidden/>
    <w:rsid w:val="00477399"/>
    <w:rPr>
      <w:i/>
      <w:iCs/>
    </w:rPr>
  </w:style>
  <w:style w:type="character" w:styleId="LineNumber">
    <w:name w:val="line number"/>
    <w:basedOn w:val="DefaultParagraphFont"/>
    <w:semiHidden/>
    <w:rsid w:val="00477399"/>
  </w:style>
  <w:style w:type="paragraph" w:styleId="List">
    <w:name w:val="List"/>
    <w:basedOn w:val="Normal"/>
    <w:semiHidden/>
    <w:rsid w:val="00477399"/>
    <w:pPr>
      <w:numPr>
        <w:numId w:val="0"/>
      </w:numPr>
    </w:pPr>
  </w:style>
  <w:style w:type="paragraph" w:styleId="List2">
    <w:name w:val="List 2"/>
    <w:basedOn w:val="Normal"/>
    <w:semiHidden/>
    <w:rsid w:val="00477399"/>
    <w:pPr>
      <w:numPr>
        <w:numId w:val="0"/>
      </w:numPr>
    </w:pPr>
  </w:style>
  <w:style w:type="paragraph" w:styleId="List3">
    <w:name w:val="List 3"/>
    <w:basedOn w:val="Normal"/>
    <w:semiHidden/>
    <w:rsid w:val="00477399"/>
    <w:pPr>
      <w:numPr>
        <w:numId w:val="0"/>
      </w:numPr>
    </w:pPr>
  </w:style>
  <w:style w:type="paragraph" w:styleId="List4">
    <w:name w:val="List 4"/>
    <w:basedOn w:val="Normal"/>
    <w:semiHidden/>
    <w:rsid w:val="00477399"/>
    <w:pPr>
      <w:numPr>
        <w:numId w:val="0"/>
      </w:numPr>
    </w:pPr>
  </w:style>
  <w:style w:type="paragraph" w:styleId="List5">
    <w:name w:val="List 5"/>
    <w:basedOn w:val="Normal"/>
    <w:semiHidden/>
    <w:rsid w:val="00477399"/>
    <w:pPr>
      <w:numPr>
        <w:numId w:val="0"/>
      </w:numPr>
    </w:pPr>
  </w:style>
  <w:style w:type="paragraph" w:styleId="ListContinue">
    <w:name w:val="List Continue"/>
    <w:basedOn w:val="Normal"/>
    <w:semiHidden/>
    <w:rsid w:val="00477399"/>
    <w:pPr>
      <w:numPr>
        <w:numId w:val="0"/>
      </w:numPr>
      <w:spacing w:after="120"/>
    </w:pPr>
  </w:style>
  <w:style w:type="paragraph" w:styleId="ListContinue2">
    <w:name w:val="List Continue 2"/>
    <w:basedOn w:val="Normal"/>
    <w:semiHidden/>
    <w:rsid w:val="00477399"/>
    <w:pPr>
      <w:numPr>
        <w:numId w:val="0"/>
      </w:numPr>
      <w:spacing w:after="120"/>
    </w:pPr>
  </w:style>
  <w:style w:type="paragraph" w:styleId="ListContinue3">
    <w:name w:val="List Continue 3"/>
    <w:basedOn w:val="Normal"/>
    <w:semiHidden/>
    <w:rsid w:val="00477399"/>
    <w:pPr>
      <w:numPr>
        <w:numId w:val="0"/>
      </w:numPr>
      <w:spacing w:after="120"/>
    </w:pPr>
  </w:style>
  <w:style w:type="paragraph" w:styleId="ListContinue4">
    <w:name w:val="List Continue 4"/>
    <w:basedOn w:val="Normal"/>
    <w:semiHidden/>
    <w:rsid w:val="00477399"/>
    <w:pPr>
      <w:numPr>
        <w:numId w:val="0"/>
      </w:numPr>
      <w:spacing w:after="120"/>
    </w:pPr>
  </w:style>
  <w:style w:type="paragraph" w:styleId="ListContinue5">
    <w:name w:val="List Continue 5"/>
    <w:basedOn w:val="Normal"/>
    <w:semiHidden/>
    <w:rsid w:val="00477399"/>
    <w:pPr>
      <w:numPr>
        <w:numId w:val="0"/>
      </w:numPr>
      <w:spacing w:after="120"/>
    </w:pPr>
  </w:style>
  <w:style w:type="paragraph" w:styleId="ListNumber">
    <w:name w:val="List Number"/>
    <w:basedOn w:val="Normal"/>
    <w:semiHidden/>
    <w:rsid w:val="00477399"/>
    <w:pPr>
      <w:numPr>
        <w:numId w:val="2"/>
      </w:numPr>
    </w:pPr>
  </w:style>
  <w:style w:type="paragraph" w:styleId="ListNumber2">
    <w:name w:val="List Number 2"/>
    <w:basedOn w:val="Normal"/>
    <w:semiHidden/>
    <w:rsid w:val="00477399"/>
    <w:pPr>
      <w:numPr>
        <w:numId w:val="4"/>
      </w:numPr>
    </w:pPr>
  </w:style>
  <w:style w:type="paragraph" w:styleId="ListNumber3">
    <w:name w:val="List Number 3"/>
    <w:basedOn w:val="Normal"/>
    <w:semiHidden/>
    <w:rsid w:val="00477399"/>
    <w:pPr>
      <w:numPr>
        <w:numId w:val="5"/>
      </w:numPr>
    </w:pPr>
  </w:style>
  <w:style w:type="paragraph" w:styleId="ListNumber4">
    <w:name w:val="List Number 4"/>
    <w:basedOn w:val="Normal"/>
    <w:semiHidden/>
    <w:rsid w:val="00477399"/>
    <w:pPr>
      <w:numPr>
        <w:numId w:val="6"/>
      </w:numPr>
    </w:pPr>
  </w:style>
  <w:style w:type="paragraph" w:styleId="ListNumber5">
    <w:name w:val="List Number 5"/>
    <w:basedOn w:val="Normal"/>
    <w:semiHidden/>
    <w:rsid w:val="00477399"/>
    <w:pPr>
      <w:numPr>
        <w:numId w:val="7"/>
      </w:numPr>
    </w:pPr>
  </w:style>
  <w:style w:type="paragraph" w:styleId="MessageHeader">
    <w:name w:val="Message Header"/>
    <w:basedOn w:val="Normal"/>
    <w:semiHidden/>
    <w:rsid w:val="00477399"/>
    <w:pPr>
      <w:numPr>
        <w:numId w:val="0"/>
      </w:num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paragraph" w:styleId="NormalWeb">
    <w:name w:val="Normal (Web)"/>
    <w:basedOn w:val="Normal"/>
    <w:semiHidden/>
    <w:rsid w:val="00477399"/>
    <w:pPr>
      <w:numPr>
        <w:numId w:val="0"/>
      </w:numPr>
    </w:pPr>
    <w:rPr>
      <w:rFonts w:ascii="Times New Roman" w:hAnsi="Times New Roman"/>
    </w:rPr>
  </w:style>
  <w:style w:type="paragraph" w:styleId="NormalIndent">
    <w:name w:val="Normal Indent"/>
    <w:basedOn w:val="Normal"/>
    <w:semiHidden/>
    <w:rsid w:val="00477399"/>
    <w:pPr>
      <w:numPr>
        <w:numId w:val="0"/>
      </w:numPr>
    </w:pPr>
  </w:style>
  <w:style w:type="paragraph" w:styleId="NoteHeading">
    <w:name w:val="Note Heading"/>
    <w:basedOn w:val="Normal"/>
    <w:next w:val="Normal"/>
    <w:semiHidden/>
    <w:rsid w:val="00477399"/>
    <w:pPr>
      <w:numPr>
        <w:numId w:val="0"/>
      </w:numPr>
    </w:pPr>
  </w:style>
  <w:style w:type="character" w:styleId="PageNumber">
    <w:name w:val="page number"/>
    <w:basedOn w:val="DefaultParagraphFont"/>
    <w:semiHidden/>
    <w:rsid w:val="00477399"/>
  </w:style>
  <w:style w:type="paragraph" w:styleId="PlainText">
    <w:name w:val="Plain Text"/>
    <w:basedOn w:val="Normal"/>
    <w:semiHidden/>
    <w:rsid w:val="00477399"/>
    <w:pPr>
      <w:numPr>
        <w:numId w:val="0"/>
      </w:numPr>
    </w:pPr>
    <w:rPr>
      <w:rFonts w:ascii="Courier New" w:hAnsi="Courier New" w:cs="Courier New"/>
      <w:sz w:val="20"/>
      <w:szCs w:val="20"/>
    </w:rPr>
  </w:style>
  <w:style w:type="paragraph" w:styleId="Salutation">
    <w:name w:val="Salutation"/>
    <w:basedOn w:val="Normal"/>
    <w:next w:val="Normal"/>
    <w:semiHidden/>
    <w:rsid w:val="00477399"/>
    <w:pPr>
      <w:numPr>
        <w:numId w:val="0"/>
      </w:numPr>
    </w:pPr>
  </w:style>
  <w:style w:type="paragraph" w:styleId="Signature">
    <w:name w:val="Signature"/>
    <w:basedOn w:val="Normal"/>
    <w:semiHidden/>
    <w:rsid w:val="00477399"/>
    <w:pPr>
      <w:numPr>
        <w:numId w:val="0"/>
      </w:numPr>
    </w:pPr>
  </w:style>
  <w:style w:type="character" w:styleId="Strong">
    <w:name w:val="Strong"/>
    <w:basedOn w:val="DefaultParagraphFont"/>
    <w:semiHidden/>
    <w:qFormat/>
    <w:rsid w:val="00477399"/>
    <w:rPr>
      <w:b/>
      <w:bCs/>
    </w:rPr>
  </w:style>
  <w:style w:type="paragraph" w:styleId="Subtitle">
    <w:name w:val="Subtitle"/>
    <w:basedOn w:val="Normal"/>
    <w:semiHidden/>
    <w:qFormat/>
    <w:rsid w:val="00477399"/>
    <w:pPr>
      <w:numPr>
        <w:numId w:val="0"/>
      </w:numPr>
      <w:spacing w:after="60"/>
      <w:jc w:val="center"/>
      <w:outlineLvl w:val="1"/>
    </w:pPr>
    <w:rPr>
      <w:rFonts w:ascii="Arial" w:hAnsi="Arial"/>
    </w:rPr>
  </w:style>
  <w:style w:type="table" w:styleId="Table3Deffects1">
    <w:name w:val="Table 3D effects 1"/>
    <w:basedOn w:val="TableNormal"/>
    <w:semiHidden/>
    <w:rsid w:val="00477399"/>
    <w:pPr>
      <w:numPr>
        <w:numId w:val="3"/>
      </w:numPr>
      <w:tabs>
        <w:tab w:val="clear" w:pos="567"/>
        <w:tab w:val="num" w:pos="0"/>
      </w:tabs>
      <w:spacing w:before="12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7399"/>
    <w:pPr>
      <w:numPr>
        <w:numId w:val="3"/>
      </w:numPr>
      <w:tabs>
        <w:tab w:val="clear" w:pos="567"/>
        <w:tab w:val="num" w:pos="0"/>
      </w:tabs>
      <w:spacing w:before="12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7399"/>
    <w:pPr>
      <w:numPr>
        <w:numId w:val="3"/>
      </w:numPr>
      <w:tabs>
        <w:tab w:val="clear" w:pos="567"/>
        <w:tab w:val="num" w:pos="0"/>
      </w:tabs>
      <w:spacing w:before="12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7399"/>
    <w:pPr>
      <w:numPr>
        <w:numId w:val="3"/>
      </w:numPr>
      <w:tabs>
        <w:tab w:val="clear" w:pos="567"/>
        <w:tab w:val="num" w:pos="0"/>
      </w:tabs>
      <w:spacing w:before="120"/>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7399"/>
    <w:pPr>
      <w:numPr>
        <w:numId w:val="3"/>
      </w:numPr>
      <w:tabs>
        <w:tab w:val="clear" w:pos="567"/>
        <w:tab w:val="num" w:pos="0"/>
      </w:tabs>
      <w:spacing w:before="120"/>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7399"/>
    <w:pPr>
      <w:numPr>
        <w:numId w:val="3"/>
      </w:numPr>
      <w:tabs>
        <w:tab w:val="clear" w:pos="567"/>
        <w:tab w:val="num" w:pos="0"/>
      </w:tabs>
      <w:spacing w:before="120"/>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7399"/>
    <w:pPr>
      <w:numPr>
        <w:numId w:val="3"/>
      </w:numPr>
      <w:tabs>
        <w:tab w:val="clear" w:pos="567"/>
        <w:tab w:val="num" w:pos="0"/>
      </w:tabs>
      <w:spacing w:before="12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7399"/>
    <w:pPr>
      <w:numPr>
        <w:numId w:val="3"/>
      </w:numPr>
      <w:tabs>
        <w:tab w:val="clear" w:pos="567"/>
        <w:tab w:val="num" w:pos="0"/>
      </w:tabs>
      <w:spacing w:before="120"/>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7399"/>
    <w:pPr>
      <w:numPr>
        <w:numId w:val="3"/>
      </w:numPr>
      <w:tabs>
        <w:tab w:val="clear" w:pos="567"/>
        <w:tab w:val="num" w:pos="0"/>
      </w:tabs>
      <w:spacing w:before="12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7399"/>
    <w:pPr>
      <w:numPr>
        <w:numId w:val="3"/>
      </w:numPr>
      <w:tabs>
        <w:tab w:val="clear" w:pos="567"/>
        <w:tab w:val="num" w:pos="0"/>
      </w:tabs>
      <w:spacing w:before="12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7399"/>
    <w:pPr>
      <w:numPr>
        <w:numId w:val="3"/>
      </w:numPr>
      <w:tabs>
        <w:tab w:val="clear" w:pos="567"/>
        <w:tab w:val="num" w:pos="0"/>
      </w:tabs>
      <w:spacing w:before="12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7399"/>
    <w:pPr>
      <w:numPr>
        <w:numId w:val="3"/>
      </w:numPr>
      <w:tabs>
        <w:tab w:val="clear" w:pos="567"/>
        <w:tab w:val="num" w:pos="0"/>
      </w:tabs>
      <w:spacing w:before="120"/>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7399"/>
    <w:pPr>
      <w:numPr>
        <w:numId w:val="3"/>
      </w:numPr>
      <w:tabs>
        <w:tab w:val="clear" w:pos="567"/>
        <w:tab w:val="num" w:pos="0"/>
      </w:tabs>
      <w:spacing w:before="12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7399"/>
    <w:pPr>
      <w:numPr>
        <w:numId w:val="3"/>
      </w:numPr>
      <w:tabs>
        <w:tab w:val="clear" w:pos="567"/>
        <w:tab w:val="num" w:pos="0"/>
      </w:tabs>
      <w:spacing w:before="120"/>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7399"/>
    <w:pPr>
      <w:numPr>
        <w:numId w:val="3"/>
      </w:numPr>
      <w:tabs>
        <w:tab w:val="clear" w:pos="567"/>
        <w:tab w:val="num" w:pos="0"/>
      </w:tabs>
      <w:spacing w:before="120"/>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7399"/>
    <w:pPr>
      <w:numPr>
        <w:numId w:val="3"/>
      </w:numPr>
      <w:tabs>
        <w:tab w:val="clear" w:pos="567"/>
        <w:tab w:val="num" w:pos="0"/>
      </w:tabs>
      <w:spacing w:before="120"/>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7399"/>
    <w:pPr>
      <w:numPr>
        <w:numId w:val="3"/>
      </w:numPr>
      <w:tabs>
        <w:tab w:val="clear" w:pos="567"/>
        <w:tab w:val="num" w:pos="0"/>
      </w:tabs>
      <w:spacing w:before="120"/>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7399"/>
    <w:pPr>
      <w:numPr>
        <w:numId w:val="3"/>
      </w:numPr>
      <w:tabs>
        <w:tab w:val="clear" w:pos="567"/>
        <w:tab w:val="num" w:pos="0"/>
      </w:tabs>
      <w:spacing w:before="120"/>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7399"/>
    <w:pPr>
      <w:numPr>
        <w:numId w:val="3"/>
      </w:numPr>
      <w:tabs>
        <w:tab w:val="clear" w:pos="567"/>
        <w:tab w:val="num" w:pos="0"/>
      </w:tabs>
      <w:spacing w:before="120"/>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7399"/>
    <w:pPr>
      <w:numPr>
        <w:numId w:val="3"/>
      </w:numPr>
      <w:tabs>
        <w:tab w:val="clear" w:pos="567"/>
        <w:tab w:val="num" w:pos="0"/>
      </w:tabs>
      <w:spacing w:before="120"/>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7399"/>
    <w:pPr>
      <w:numPr>
        <w:numId w:val="3"/>
      </w:numPr>
      <w:tabs>
        <w:tab w:val="clear" w:pos="567"/>
        <w:tab w:val="num" w:pos="0"/>
      </w:tabs>
      <w:spacing w:before="120"/>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7399"/>
    <w:pPr>
      <w:numPr>
        <w:numId w:val="3"/>
      </w:numPr>
      <w:tabs>
        <w:tab w:val="clear" w:pos="567"/>
        <w:tab w:val="num" w:pos="0"/>
      </w:tabs>
      <w:spacing w:before="120"/>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7399"/>
    <w:pPr>
      <w:numPr>
        <w:numId w:val="3"/>
      </w:numPr>
      <w:tabs>
        <w:tab w:val="clear" w:pos="567"/>
        <w:tab w:val="num" w:pos="0"/>
      </w:tabs>
      <w:spacing w:before="120"/>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7399"/>
    <w:pPr>
      <w:numPr>
        <w:numId w:val="3"/>
      </w:numPr>
      <w:tabs>
        <w:tab w:val="clear" w:pos="567"/>
        <w:tab w:val="num" w:pos="0"/>
      </w:tabs>
      <w:spacing w:before="120"/>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7399"/>
    <w:pPr>
      <w:numPr>
        <w:numId w:val="3"/>
      </w:numPr>
      <w:tabs>
        <w:tab w:val="clear" w:pos="567"/>
        <w:tab w:val="num" w:pos="0"/>
      </w:tabs>
      <w:spacing w:before="120"/>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7399"/>
    <w:pPr>
      <w:numPr>
        <w:numId w:val="3"/>
      </w:numPr>
      <w:tabs>
        <w:tab w:val="clear" w:pos="567"/>
        <w:tab w:val="num" w:pos="0"/>
      </w:tabs>
      <w:spacing w:before="120"/>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7399"/>
    <w:pPr>
      <w:numPr>
        <w:numId w:val="3"/>
      </w:numPr>
      <w:tabs>
        <w:tab w:val="clear" w:pos="567"/>
        <w:tab w:val="num" w:pos="0"/>
      </w:tabs>
      <w:spacing w:before="120"/>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7399"/>
    <w:pPr>
      <w:numPr>
        <w:numId w:val="3"/>
      </w:numPr>
      <w:tabs>
        <w:tab w:val="clear" w:pos="567"/>
        <w:tab w:val="num" w:pos="0"/>
      </w:tabs>
      <w:spacing w:before="12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7399"/>
    <w:pPr>
      <w:numPr>
        <w:numId w:val="3"/>
      </w:numPr>
      <w:tabs>
        <w:tab w:val="clear" w:pos="567"/>
        <w:tab w:val="num" w:pos="0"/>
      </w:tabs>
      <w:spacing w:before="120"/>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7399"/>
    <w:pPr>
      <w:numPr>
        <w:numId w:val="3"/>
      </w:numPr>
      <w:tabs>
        <w:tab w:val="clear" w:pos="567"/>
        <w:tab w:val="num" w:pos="0"/>
      </w:tabs>
      <w:spacing w:before="120"/>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7399"/>
    <w:pPr>
      <w:numPr>
        <w:numId w:val="3"/>
      </w:numPr>
      <w:tabs>
        <w:tab w:val="clear" w:pos="567"/>
        <w:tab w:val="num" w:pos="0"/>
      </w:tabs>
      <w:spacing w:before="120"/>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77399"/>
    <w:pPr>
      <w:numPr>
        <w:numId w:val="0"/>
      </w:num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AD7650"/>
    <w:pPr>
      <w:numPr>
        <w:numId w:val="15"/>
      </w:numPr>
      <w:ind w:left="1134" w:hanging="567"/>
    </w:pPr>
  </w:style>
  <w:style w:type="table" w:styleId="LightShading">
    <w:name w:val="Light Shading"/>
    <w:basedOn w:val="TableNormal"/>
    <w:uiPriority w:val="60"/>
    <w:rsid w:val="004773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next w:val="Normal"/>
    <w:uiPriority w:val="3"/>
    <w:qFormat/>
    <w:rsid w:val="00477399"/>
  </w:style>
  <w:style w:type="paragraph" w:customStyle="1" w:styleId="Pagesubheading">
    <w:name w:val="Page sub heading"/>
    <w:basedOn w:val="Heading2"/>
    <w:uiPriority w:val="4"/>
    <w:qFormat/>
    <w:rsid w:val="00477399"/>
  </w:style>
  <w:style w:type="numbering" w:customStyle="1" w:styleId="Numbered">
    <w:name w:val="Numbered"/>
    <w:uiPriority w:val="99"/>
    <w:rsid w:val="00477399"/>
    <w:pPr>
      <w:numPr>
        <w:numId w:val="13"/>
      </w:numPr>
    </w:pPr>
  </w:style>
  <w:style w:type="paragraph" w:styleId="ListParagraph">
    <w:name w:val="List Paragraph"/>
    <w:basedOn w:val="Normal"/>
    <w:uiPriority w:val="34"/>
    <w:rsid w:val="00477399"/>
    <w:pPr>
      <w:numPr>
        <w:numId w:val="0"/>
      </w:numPr>
      <w:contextualSpacing/>
    </w:pPr>
  </w:style>
  <w:style w:type="paragraph" w:customStyle="1" w:styleId="Numberedpageheading">
    <w:name w:val="Numbered page heading"/>
    <w:basedOn w:val="Numberedpagesubheading"/>
    <w:next w:val="Normal"/>
    <w:uiPriority w:val="5"/>
    <w:qFormat/>
    <w:rsid w:val="00AC3A29"/>
    <w:rPr>
      <w:caps/>
    </w:rPr>
  </w:style>
  <w:style w:type="table" w:customStyle="1" w:styleId="Blindtable">
    <w:name w:val="Blind table"/>
    <w:basedOn w:val="TableNormal"/>
    <w:uiPriority w:val="99"/>
    <w:rsid w:val="00477399"/>
    <w:rPr>
      <w:color w:val="000000" w:themeColor="text1"/>
    </w:rPr>
    <w:tblPr/>
    <w:tcPr>
      <w:shd w:val="clear" w:color="auto" w:fill="FFFFFF" w:themeFill="background1"/>
    </w:tcPr>
  </w:style>
  <w:style w:type="table" w:customStyle="1" w:styleId="Blind">
    <w:name w:val="Blind"/>
    <w:basedOn w:val="Corporatetablestyle"/>
    <w:uiPriority w:val="99"/>
    <w:rsid w:val="00477399"/>
    <w:rPr>
      <w:color w:val="000000"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val="0"/>
        <w:bCs/>
        <w:color w:val="auto"/>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uto"/>
      </w:tcPr>
    </w:tblStylePr>
  </w:style>
  <w:style w:type="paragraph" w:customStyle="1" w:styleId="Listnumbersleveltwo">
    <w:name w:val="List numbers level two"/>
    <w:basedOn w:val="Numberedpagesubheading"/>
    <w:uiPriority w:val="9"/>
    <w:qFormat/>
    <w:rsid w:val="00AC3A29"/>
    <w:pPr>
      <w:numPr>
        <w:ilvl w:val="1"/>
      </w:numPr>
      <w:tabs>
        <w:tab w:val="clear" w:pos="792"/>
      </w:tabs>
      <w:ind w:left="567" w:hanging="567"/>
    </w:pPr>
    <w:rPr>
      <w:b w:val="0"/>
    </w:rPr>
  </w:style>
  <w:style w:type="paragraph" w:customStyle="1" w:styleId="Listnumberslevelthree">
    <w:name w:val="List numbers level three"/>
    <w:basedOn w:val="Listnumbersleveltwo"/>
    <w:uiPriority w:val="5"/>
    <w:qFormat/>
    <w:rsid w:val="00AC3A29"/>
    <w:pPr>
      <w:numPr>
        <w:ilvl w:val="2"/>
      </w:numPr>
      <w:tabs>
        <w:tab w:val="clear" w:pos="1440"/>
      </w:tabs>
      <w:ind w:left="567" w:hanging="567"/>
    </w:pPr>
  </w:style>
  <w:style w:type="paragraph" w:customStyle="1" w:styleId="Default">
    <w:name w:val="Default"/>
    <w:rsid w:val="00734749"/>
    <w:pPr>
      <w:autoSpaceDE w:val="0"/>
      <w:autoSpaceDN w:val="0"/>
      <w:adjustRightInd w:val="0"/>
    </w:pPr>
    <w:rPr>
      <w:rFonts w:ascii="Arial" w:hAnsi="Arial" w:cs="Arial"/>
      <w:color w:val="000000"/>
    </w:rPr>
  </w:style>
  <w:style w:type="paragraph" w:styleId="FootnoteText">
    <w:name w:val="footnote text"/>
    <w:basedOn w:val="Normal"/>
    <w:link w:val="FootnoteTextChar"/>
    <w:rsid w:val="002800F9"/>
    <w:pPr>
      <w:spacing w:before="0"/>
    </w:pPr>
    <w:rPr>
      <w:sz w:val="20"/>
      <w:szCs w:val="20"/>
    </w:rPr>
  </w:style>
  <w:style w:type="character" w:customStyle="1" w:styleId="FootnoteTextChar">
    <w:name w:val="Footnote Text Char"/>
    <w:basedOn w:val="DefaultParagraphFont"/>
    <w:link w:val="FootnoteText"/>
    <w:rsid w:val="002800F9"/>
    <w:rPr>
      <w:sz w:val="20"/>
      <w:szCs w:val="20"/>
    </w:rPr>
  </w:style>
  <w:style w:type="character" w:styleId="FootnoteReference">
    <w:name w:val="footnote reference"/>
    <w:basedOn w:val="DefaultParagraphFont"/>
    <w:rsid w:val="002800F9"/>
    <w:rPr>
      <w:vertAlign w:val="superscript"/>
    </w:rPr>
  </w:style>
  <w:style w:type="character" w:customStyle="1" w:styleId="A7">
    <w:name w:val="A7"/>
    <w:uiPriority w:val="99"/>
    <w:rsid w:val="009F3713"/>
    <w:rPr>
      <w:rFonts w:cs="Open San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9311">
      <w:bodyDiv w:val="1"/>
      <w:marLeft w:val="0"/>
      <w:marRight w:val="0"/>
      <w:marTop w:val="0"/>
      <w:marBottom w:val="0"/>
      <w:divBdr>
        <w:top w:val="none" w:sz="0" w:space="0" w:color="auto"/>
        <w:left w:val="none" w:sz="0" w:space="0" w:color="auto"/>
        <w:bottom w:val="none" w:sz="0" w:space="0" w:color="auto"/>
        <w:right w:val="none" w:sz="0" w:space="0" w:color="auto"/>
      </w:divBdr>
    </w:div>
    <w:div w:id="899485913">
      <w:bodyDiv w:val="1"/>
      <w:marLeft w:val="0"/>
      <w:marRight w:val="0"/>
      <w:marTop w:val="0"/>
      <w:marBottom w:val="0"/>
      <w:divBdr>
        <w:top w:val="none" w:sz="0" w:space="0" w:color="auto"/>
        <w:left w:val="none" w:sz="0" w:space="0" w:color="auto"/>
        <w:bottom w:val="none" w:sz="0" w:space="0" w:color="auto"/>
        <w:right w:val="none" w:sz="0" w:space="0" w:color="auto"/>
      </w:divBdr>
      <w:divsChild>
        <w:div w:id="453603214">
          <w:marLeft w:val="0"/>
          <w:marRight w:val="0"/>
          <w:marTop w:val="0"/>
          <w:marBottom w:val="0"/>
          <w:divBdr>
            <w:top w:val="none" w:sz="0" w:space="0" w:color="auto"/>
            <w:left w:val="none" w:sz="0" w:space="0" w:color="auto"/>
            <w:bottom w:val="none" w:sz="0" w:space="0" w:color="auto"/>
            <w:right w:val="none" w:sz="0" w:space="0" w:color="auto"/>
          </w:divBdr>
          <w:divsChild>
            <w:div w:id="380256084">
              <w:marLeft w:val="0"/>
              <w:marRight w:val="0"/>
              <w:marTop w:val="0"/>
              <w:marBottom w:val="0"/>
              <w:divBdr>
                <w:top w:val="none" w:sz="0" w:space="0" w:color="auto"/>
                <w:left w:val="none" w:sz="0" w:space="0" w:color="auto"/>
                <w:bottom w:val="none" w:sz="0" w:space="0" w:color="auto"/>
                <w:right w:val="none" w:sz="0" w:space="0" w:color="auto"/>
              </w:divBdr>
              <w:divsChild>
                <w:div w:id="1093819372">
                  <w:marLeft w:val="0"/>
                  <w:marRight w:val="0"/>
                  <w:marTop w:val="0"/>
                  <w:marBottom w:val="0"/>
                  <w:divBdr>
                    <w:top w:val="none" w:sz="0" w:space="0" w:color="auto"/>
                    <w:left w:val="none" w:sz="0" w:space="0" w:color="auto"/>
                    <w:bottom w:val="none" w:sz="0" w:space="0" w:color="auto"/>
                    <w:right w:val="none" w:sz="0" w:space="0" w:color="auto"/>
                  </w:divBdr>
                  <w:divsChild>
                    <w:div w:id="362440669">
                      <w:marLeft w:val="0"/>
                      <w:marRight w:val="0"/>
                      <w:marTop w:val="0"/>
                      <w:marBottom w:val="0"/>
                      <w:divBdr>
                        <w:top w:val="none" w:sz="0" w:space="0" w:color="auto"/>
                        <w:left w:val="none" w:sz="0" w:space="0" w:color="auto"/>
                        <w:bottom w:val="none" w:sz="0" w:space="0" w:color="auto"/>
                        <w:right w:val="none" w:sz="0" w:space="0" w:color="auto"/>
                      </w:divBdr>
                      <w:divsChild>
                        <w:div w:id="18449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99810/School_inspection_handbook_section_5.pdf" TargetMode="External"/><Relationship Id="rId2" Type="http://schemas.openxmlformats.org/officeDocument/2006/relationships/hyperlink" Target="http://www.ebpnational.org.uk/" TargetMode="External"/><Relationship Id="rId1" Type="http://schemas.openxmlformats.org/officeDocument/2006/relationships/hyperlink" Target="http://www.ocr.org.uk/Images/168852-the-ocr-guide-to-best-practice-in-work-experience.pdf" TargetMode="External"/><Relationship Id="rId5" Type="http://schemas.openxmlformats.org/officeDocument/2006/relationships/hyperlink" Target="http://www.specialworld.net/2017/04/03/schools-struggling-to-offer-work-experience-placements-to-students-with-send/" TargetMode="External"/><Relationship Id="rId4" Type="http://schemas.openxmlformats.org/officeDocument/2006/relationships/hyperlink" Target="https://www.cornwall.gov.uk/media/27944062/send-research-project-a-summary-of-what-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BBC3-DF80-49D5-A3E2-94DA5A17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15908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Smith, Natalie</dc:creator>
  <cp:lastModifiedBy>KEATING, Mariam</cp:lastModifiedBy>
  <cp:revision>2</cp:revision>
  <cp:lastPrinted>2013-01-10T13:21:00Z</cp:lastPrinted>
  <dcterms:created xsi:type="dcterms:W3CDTF">2018-06-18T16:38:00Z</dcterms:created>
  <dcterms:modified xsi:type="dcterms:W3CDTF">2018-06-18T16:38:00Z</dcterms:modified>
</cp:coreProperties>
</file>